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>
      <w:pPr>
        <w:spacing w:line="360" w:lineRule="auto"/>
        <w:jc w:val="left"/>
        <w:rPr>
          <w:rFonts w:ascii="黑体" w:eastAsia="黑体" w:hAnsi="黑体" w:hint="eastAsia"/>
          <w:sz w:val="32"/>
          <w:szCs w:val="32"/>
          <w:lang w:val="en-US" w:eastAsia="zh-CN"/>
        </w:rPr>
      </w:pPr>
      <w:r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  <w:lang w:val="en-US" w:eastAsia="zh-CN"/>
        </w:rPr>
        <w:t>6</w:t>
      </w:r>
    </w:p>
    <w:p>
      <w:pPr>
        <w:jc w:val="left"/>
        <w:rPr>
          <w:rFonts w:ascii="Times New Roman" w:eastAsia="方正黑体_GBK" w:hAnsi="Times New Roman"/>
          <w:sz w:val="30"/>
          <w:szCs w:val="30"/>
        </w:rPr>
      </w:pPr>
    </w:p>
    <w:p>
      <w:pPr>
        <w:spacing w:line="560" w:lineRule="exact"/>
        <w:jc w:val="center"/>
        <w:rPr>
          <w:rFonts w:ascii="Times New Roman" w:eastAsia="方正小标宋_GBK" w:hAnsi="Times New Roman" w:hint="eastAsia"/>
          <w:sz w:val="40"/>
          <w:szCs w:val="40"/>
        </w:rPr>
      </w:pPr>
      <w:r>
        <w:rPr>
          <w:rFonts w:ascii="Times New Roman" w:eastAsia="方正小标宋_GBK" w:hAnsi="Times New Roman" w:hint="eastAsia"/>
          <w:sz w:val="40"/>
          <w:szCs w:val="40"/>
        </w:rPr>
        <w:t>气象基础设施2022年第一批中央预算内</w:t>
      </w:r>
    </w:p>
    <w:p>
      <w:pPr>
        <w:spacing w:line="560" w:lineRule="exact"/>
        <w:jc w:val="center"/>
        <w:rPr>
          <w:rFonts w:ascii="Times New Roman" w:eastAsia="方正小标宋_GBK" w:hAnsi="Times New Roman"/>
          <w:sz w:val="40"/>
          <w:szCs w:val="40"/>
        </w:rPr>
      </w:pPr>
      <w:r>
        <w:rPr>
          <w:rFonts w:ascii="Times New Roman" w:eastAsia="方正小标宋_GBK" w:hAnsi="Times New Roman" w:hint="eastAsia"/>
          <w:sz w:val="40"/>
          <w:szCs w:val="40"/>
        </w:rPr>
        <w:t>投资计划绩效目标表</w:t>
      </w:r>
    </w:p>
    <w:tbl>
      <w:tblPr>
        <w:tblStyle w:val="TableNormal"/>
        <w:tblpPr w:leftFromText="180" w:rightFromText="180" w:vertAnchor="text" w:horzAnchor="page" w:tblpX="1612" w:tblpY="573"/>
        <w:tblOverlap w:val="never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563"/>
        <w:gridCol w:w="1558"/>
        <w:gridCol w:w="1140"/>
        <w:gridCol w:w="1275"/>
        <w:gridCol w:w="2829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</w:trPr>
        <w:tc>
          <w:tcPr>
            <w:tcW w:w="2691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专项名称</w:t>
            </w:r>
          </w:p>
        </w:tc>
        <w:tc>
          <w:tcPr>
            <w:tcW w:w="230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重点工程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691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下达地方或单位</w:t>
            </w:r>
          </w:p>
        </w:tc>
        <w:tc>
          <w:tcPr>
            <w:tcW w:w="230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气象局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691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本次申请中央预算内投资（万元）</w:t>
            </w:r>
          </w:p>
        </w:tc>
        <w:tc>
          <w:tcPr>
            <w:tcW w:w="230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  <w:lang w:val="en-US" w:eastAsia="zh-CN"/>
              </w:rPr>
              <w:t>32</w:t>
            </w:r>
            <w:r>
              <w:rPr>
                <w:rFonts w:ascii="仿宋_GB2312" w:eastAsia="仿宋_GB2312" w:hAnsi="仿宋" w:hint="eastAsia"/>
                <w:szCs w:val="21"/>
              </w:rPr>
              <w:t>0000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/>
        </w:trPr>
        <w:tc>
          <w:tcPr>
            <w:tcW w:w="2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标</w:t>
            </w:r>
          </w:p>
        </w:tc>
        <w:tc>
          <w:tcPr>
            <w:tcW w:w="4704" w:type="pct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  <w:lang w:val="en-US" w:eastAsia="zh-CN"/>
              </w:rPr>
              <w:t xml:space="preserve">  建设新一代天气雷达系统，实施风云三号03批、风云四号02批气象卫星工程，开展中部区域人工影响天气能力建设，逐步提升气象业务信息化保障水平</w:t>
            </w:r>
            <w:r>
              <w:rPr>
                <w:rFonts w:ascii="仿宋_GB2312" w:eastAsia="仿宋_GB2312" w:hAnsi="仿宋" w:hint="eastAsia"/>
                <w:szCs w:val="21"/>
              </w:rPr>
              <w:t>。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标</w:t>
            </w:r>
          </w:p>
        </w:tc>
        <w:tc>
          <w:tcPr>
            <w:tcW w:w="8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一级指标</w:t>
            </w:r>
          </w:p>
        </w:tc>
        <w:tc>
          <w:tcPr>
            <w:tcW w:w="8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二级指标</w:t>
            </w: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三级指标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指标值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实施效果指标</w:t>
            </w:r>
          </w:p>
        </w:tc>
        <w:tc>
          <w:tcPr>
            <w:tcW w:w="87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产出指标</w:t>
            </w: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仿宋_GB2312" w:eastAsia="仿宋_GB2312" w:hAnsi="仿宋" w:hint="default"/>
                <w:szCs w:val="21"/>
                <w:lang w:val="en-US" w:eastAsia="zh-CN"/>
              </w:rPr>
            </w:pP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新一代天气雷达工程建设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 w:hAnsi="仿宋" w:hint="eastAsia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新建3部、续建3部新一代天气雷达，新建6部风廓线雷达，</w:t>
            </w: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对</w:t>
            </w:r>
            <w:r>
              <w:rPr>
                <w:rFonts w:ascii="仿宋_GB2312" w:eastAsia="仿宋_GB2312" w:hAnsi="仿宋" w:hint="eastAsia"/>
                <w:szCs w:val="21"/>
              </w:rPr>
              <w:t>12部雷达进行双偏振升级，</w:t>
            </w: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对</w:t>
            </w:r>
            <w:r>
              <w:rPr>
                <w:rFonts w:ascii="仿宋_GB2312" w:eastAsia="仿宋_GB2312" w:hAnsi="仿宋" w:hint="eastAsia"/>
                <w:szCs w:val="21"/>
              </w:rPr>
              <w:t>26部雷达</w:t>
            </w: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实施</w:t>
            </w:r>
            <w:r>
              <w:rPr>
                <w:rFonts w:ascii="仿宋_GB2312" w:eastAsia="仿宋_GB2312" w:hAnsi="仿宋" w:hint="eastAsia"/>
                <w:szCs w:val="21"/>
              </w:rPr>
              <w:t>技术升级和技术标准统一</w:t>
            </w: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。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风云三号03批</w:t>
            </w: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气象</w:t>
            </w:r>
            <w:r>
              <w:rPr>
                <w:rFonts w:ascii="仿宋_GB2312" w:eastAsia="仿宋_GB2312" w:hAnsi="仿宋" w:hint="eastAsia"/>
                <w:szCs w:val="21"/>
              </w:rPr>
              <w:t>卫星工程建设</w:t>
            </w:r>
          </w:p>
        </w:tc>
        <w:tc>
          <w:tcPr>
            <w:tcW w:w="159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 w:hAnsi="仿宋" w:hint="eastAsia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开展风云三号F、G、H卫星、火箭、发射、测控及地面应用系统研制</w:t>
            </w: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。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风云</w:t>
            </w: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四</w:t>
            </w:r>
            <w:r>
              <w:rPr>
                <w:rFonts w:ascii="仿宋_GB2312" w:eastAsia="仿宋_GB2312" w:hAnsi="仿宋" w:hint="eastAsia"/>
                <w:szCs w:val="21"/>
              </w:rPr>
              <w:t>号</w:t>
            </w:r>
            <w:r>
              <w:rPr>
                <w:rFonts w:ascii="仿宋_GB2312" w:eastAsia="仿宋_GB2312" w:hAnsi="仿宋" w:hint="eastAsia"/>
                <w:szCs w:val="21"/>
                <w:lang w:val="en-US" w:eastAsia="zh-CN"/>
              </w:rPr>
              <w:t>02</w:t>
            </w:r>
            <w:r>
              <w:rPr>
                <w:rFonts w:ascii="仿宋_GB2312" w:eastAsia="仿宋_GB2312" w:hAnsi="仿宋" w:hint="eastAsia"/>
                <w:szCs w:val="21"/>
              </w:rPr>
              <w:t>批</w:t>
            </w: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气象</w:t>
            </w:r>
            <w:r>
              <w:rPr>
                <w:rFonts w:ascii="仿宋_GB2312" w:eastAsia="仿宋_GB2312" w:hAnsi="仿宋" w:hint="eastAsia"/>
                <w:szCs w:val="21"/>
              </w:rPr>
              <w:t>卫星工程建设</w:t>
            </w:r>
          </w:p>
        </w:tc>
        <w:tc>
          <w:tcPr>
            <w:tcW w:w="1590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开展风云四号</w:t>
            </w:r>
            <w:r>
              <w:rPr>
                <w:rFonts w:ascii="仿宋_GB2312" w:eastAsia="仿宋_GB2312" w:hAnsi="仿宋" w:hint="eastAsia"/>
                <w:szCs w:val="21"/>
                <w:lang w:val="en-US" w:eastAsia="zh-CN"/>
              </w:rPr>
              <w:t>B</w:t>
            </w:r>
            <w:r>
              <w:rPr>
                <w:rFonts w:ascii="仿宋_GB2312" w:eastAsia="仿宋_GB2312" w:hAnsi="仿宋" w:hint="eastAsia"/>
                <w:szCs w:val="21"/>
              </w:rPr>
              <w:t>星在轨测试、地面应用系统建设和业务应用，风云四号03星五大系统研制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1358" w:type="pct"/>
            <w:gridSpan w:val="2"/>
            <w:vAlign w:val="center"/>
          </w:tcPr>
          <w:p>
            <w:pPr>
              <w:widowControl/>
              <w:snapToGrid w:val="0"/>
              <w:contextualSpacing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eastAsia="zh-CN"/>
              </w:rPr>
              <w:t>中部区域人工影响天气能力建设</w:t>
            </w:r>
          </w:p>
        </w:tc>
        <w:tc>
          <w:tcPr>
            <w:tcW w:w="1590" w:type="pct"/>
            <w:vAlign w:val="center"/>
          </w:tcPr>
          <w:p>
            <w:pPr>
              <w:widowControl/>
              <w:snapToGrid w:val="0"/>
              <w:contextualSpacing/>
              <w:jc w:val="left"/>
              <w:rPr>
                <w:rFonts w:ascii="仿宋_GB2312" w:eastAsia="仿宋_GB2312" w:hAnsi="仿宋_GB2312" w:cs="仿宋_GB2312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val="en-US" w:eastAsia="zh-CN"/>
              </w:rPr>
              <w:t>开展3架国家作业飞机的采购和改装工作，开展郑州等5个国家作业飞机驻地专业保障设施建设。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  <w:lang w:eastAsia="zh-CN"/>
              </w:rPr>
              <w:t>气象信息化系统工程建设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 w:hAnsi="仿宋" w:hint="eastAsia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开展国家级高性能计算机硬件设备建设，</w:t>
            </w: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在</w:t>
            </w:r>
            <w:r>
              <w:rPr>
                <w:rFonts w:ascii="仿宋_GB2312" w:eastAsia="仿宋_GB2312" w:hAnsi="仿宋" w:hint="eastAsia"/>
                <w:szCs w:val="21"/>
              </w:rPr>
              <w:t>31个省级节点建设气象大数据云平台和气象信息感知网，建设30个省级基础设施资源池，建设西安大数据备份中心机房及配套工程</w:t>
            </w: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。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效益指标</w:t>
            </w: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  <w:lang w:eastAsia="zh-CN"/>
              </w:rPr>
            </w:pP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防灾减灾等经济效益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default"/>
                <w:szCs w:val="21"/>
                <w:lang w:val="en-US" w:eastAsia="zh-CN"/>
              </w:rPr>
            </w:pPr>
            <w:r>
              <w:rPr>
                <w:rFonts w:ascii="仿宋_GB2312" w:eastAsia="仿宋_GB2312" w:hAnsi="仿宋" w:hint="eastAsia"/>
                <w:szCs w:val="21"/>
                <w:lang w:eastAsia="zh-CN"/>
              </w:rPr>
              <w:t>到规划期末，气象卫星全球观测能力达到</w:t>
            </w:r>
            <w:r>
              <w:rPr>
                <w:rFonts w:ascii="仿宋_GB2312" w:eastAsia="仿宋_GB2312" w:hAnsi="仿宋" w:hint="eastAsia"/>
                <w:szCs w:val="21"/>
                <w:lang w:val="en-US" w:eastAsia="zh-CN"/>
              </w:rPr>
              <w:t>86.7分，全国气象灾害监测率达到80%。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满意度指标</w:t>
            </w: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气象服务满意度评分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＞80分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过程管理指标</w:t>
            </w:r>
          </w:p>
        </w:tc>
        <w:tc>
          <w:tcPr>
            <w:tcW w:w="87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计划管理指标</w:t>
            </w: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投资计划分解（转发）用时达标率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bookmarkStart w:id="0" w:name="_GoBack"/>
            <w:bookmarkEnd w:id="0"/>
            <w:r>
              <w:rPr>
                <w:rFonts w:ascii="仿宋_GB2312" w:eastAsia="仿宋_GB2312" w:hAnsi="仿宋" w:hint="eastAsia"/>
                <w:szCs w:val="21"/>
                <w:lang w:val="en-US" w:eastAsia="zh-CN"/>
              </w:rPr>
              <w:t>10</w:t>
            </w:r>
            <w:r>
              <w:rPr>
                <w:rFonts w:ascii="仿宋_GB2312" w:eastAsia="仿宋_GB2312" w:hAnsi="仿宋" w:hint="eastAsia"/>
                <w:szCs w:val="21"/>
              </w:rPr>
              <w:t>0%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“两个责任”按项目落实到位率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≥9</w:t>
            </w:r>
            <w:r>
              <w:rPr>
                <w:rFonts w:ascii="仿宋_GB2312" w:eastAsia="仿宋_GB2312" w:hAnsi="仿宋" w:hint="eastAsia"/>
                <w:szCs w:val="21"/>
                <w:lang w:val="en-US" w:eastAsia="zh-CN"/>
              </w:rPr>
              <w:t>5</w:t>
            </w:r>
            <w:r>
              <w:rPr>
                <w:rFonts w:ascii="仿宋_GB2312" w:eastAsia="仿宋_GB2312" w:hAnsi="仿宋" w:hint="eastAsia"/>
                <w:szCs w:val="21"/>
              </w:rPr>
              <w:t>%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资金管理指标</w:t>
            </w: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中央预算内投资支付率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≥80%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总投资完成率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≥80%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项目管理指标</w:t>
            </w: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项目开工率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100%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Merge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超规模、超标准、超概算项目比例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≤5%</w:t>
            </w:r>
          </w:p>
        </w:tc>
      </w:tr>
      <w:tr>
        <w:tblPrEx>
          <w:tblW w:w="5000" w:type="pct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/>
        </w:trPr>
        <w:tc>
          <w:tcPr>
            <w:tcW w:w="295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9" w:type="pct"/>
            <w:vMerge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</w:p>
        </w:tc>
        <w:tc>
          <w:tcPr>
            <w:tcW w:w="8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监督检查指标</w:t>
            </w:r>
          </w:p>
        </w:tc>
        <w:tc>
          <w:tcPr>
            <w:tcW w:w="135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审计、督查、巡视等指出问题项目比例</w:t>
            </w:r>
          </w:p>
        </w:tc>
        <w:tc>
          <w:tcPr>
            <w:tcW w:w="159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eastAsia="仿宋_GB2312" w:hAnsi="仿宋" w:hint="eastAsia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≤</w:t>
            </w:r>
            <w:r>
              <w:rPr>
                <w:rFonts w:ascii="仿宋_GB2312" w:eastAsia="仿宋_GB2312" w:hAnsi="仿宋" w:hint="eastAsia"/>
                <w:szCs w:val="21"/>
                <w:lang w:val="en-US" w:eastAsia="zh-CN"/>
              </w:rPr>
              <w:t>1</w:t>
            </w:r>
            <w:r>
              <w:rPr>
                <w:rFonts w:ascii="仿宋_GB2312" w:eastAsia="仿宋_GB2312" w:hAnsi="仿宋" w:hint="eastAsia"/>
                <w:szCs w:val="21"/>
              </w:rPr>
              <w:t>%</w:t>
            </w:r>
          </w:p>
        </w:tc>
      </w:tr>
    </w:tbl>
    <w:p>
      <w:pPr>
        <w:jc w:val="center"/>
        <w:rPr>
          <w:rFonts w:ascii="Times New Roman" w:eastAsia="黑体" w:hAnsi="Times New Roman"/>
          <w:sz w:val="24"/>
          <w:szCs w:val="24"/>
        </w:rPr>
      </w:pPr>
    </w:p>
    <w:p>
      <w:pPr>
        <w:snapToGrid w:val="0"/>
        <w:spacing w:line="588" w:lineRule="exact"/>
        <w:rPr>
          <w:rFonts w:ascii="Times New Roman" w:eastAsia="方正仿宋_GBK" w:hAnsi="Times New Roman"/>
          <w:sz w:val="30"/>
          <w:szCs w:val="30"/>
        </w:rPr>
      </w:pPr>
    </w:p>
    <w:p>
      <w:pPr>
        <w:snapToGrid w:val="0"/>
        <w:contextualSpacing/>
        <w:rPr>
          <w:rFonts w:ascii="Times New Roman" w:eastAsia="方正仿宋_GBK" w:hAnsi="Times New Roman"/>
          <w:color w:val="000000"/>
          <w:kern w:val="0"/>
          <w:sz w:val="16"/>
          <w:szCs w:val="16"/>
        </w:rPr>
      </w:pPr>
    </w:p>
    <w:sectPr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814" w:right="1616" w:bottom="1814" w:left="1616" w:header="851" w:footer="1474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0" w:firstLineChars="0"/>
      <w:jc w:val="center"/>
      <w:rPr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attachedTemplate r:id="rId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line="588" w:lineRule="exact"/>
      <w:ind w:firstLine="200" w:firstLineChars="200"/>
      <w:outlineLvl w:val="0"/>
    </w:pPr>
    <w:rPr>
      <w:rFonts w:ascii="Times New Roman" w:eastAsia="方正黑体_GBK" w:hAnsi="Times New Roman"/>
      <w:bCs/>
      <w:kern w:val="44"/>
      <w:sz w:val="30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line="588" w:lineRule="exact"/>
      <w:ind w:firstLine="200" w:firstLineChars="200"/>
      <w:outlineLvl w:val="1"/>
    </w:pPr>
    <w:rPr>
      <w:rFonts w:ascii="Cambria" w:eastAsia="方正楷体_GBK" w:hAnsi="Cambria"/>
      <w:bCs/>
      <w:sz w:val="30"/>
      <w:szCs w:val="32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3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588" w:lineRule="exact"/>
      <w:ind w:firstLine="200" w:firstLineChars="200"/>
      <w:jc w:val="left"/>
    </w:pPr>
    <w:rPr>
      <w:rFonts w:ascii="Times New Roman" w:eastAsia="方正仿宋_GBK" w:hAnsi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588" w:lineRule="exact"/>
      <w:ind w:firstLine="200" w:firstLineChars="200"/>
      <w:jc w:val="center"/>
    </w:pPr>
    <w:rPr>
      <w:rFonts w:ascii="Times New Roman" w:eastAsia="方正仿宋_GBK" w:hAnsi="Times New Roman"/>
      <w:sz w:val="18"/>
      <w:szCs w:val="18"/>
    </w:rPr>
  </w:style>
  <w:style w:type="paragraph" w:styleId="Subtitle">
    <w:name w:val="Subtitle"/>
    <w:basedOn w:val="Normal"/>
    <w:next w:val="Normal"/>
    <w:link w:val="Char2"/>
    <w:uiPriority w:val="11"/>
    <w:qFormat/>
    <w:pPr>
      <w:spacing w:line="588" w:lineRule="exact"/>
      <w:jc w:val="center"/>
      <w:outlineLvl w:val="1"/>
    </w:pPr>
    <w:rPr>
      <w:rFonts w:ascii="Cambria" w:eastAsia="方正楷体_GBK" w:hAnsi="Cambria"/>
      <w:bCs/>
      <w:kern w:val="28"/>
      <w:sz w:val="30"/>
      <w:szCs w:val="32"/>
    </w:rPr>
  </w:style>
  <w:style w:type="paragraph" w:styleId="Title">
    <w:name w:val="Title"/>
    <w:basedOn w:val="Normal"/>
    <w:next w:val="Normal"/>
    <w:link w:val="Char1"/>
    <w:uiPriority w:val="10"/>
    <w:qFormat/>
    <w:pPr>
      <w:spacing w:line="588" w:lineRule="exact"/>
      <w:jc w:val="center"/>
      <w:outlineLvl w:val="0"/>
    </w:pPr>
    <w:rPr>
      <w:rFonts w:ascii="Cambria" w:eastAsia="方正小标宋_GBK" w:hAnsi="Cambria"/>
      <w:bCs/>
      <w:sz w:val="40"/>
      <w:szCs w:val="32"/>
    </w:rPr>
  </w:style>
  <w:style w:type="character" w:customStyle="1" w:styleId="Char">
    <w:name w:val="页眉 Char"/>
    <w:link w:val="Header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Footer"/>
    <w:uiPriority w:val="99"/>
    <w:semiHidden/>
    <w:qFormat/>
    <w:rPr>
      <w:sz w:val="18"/>
      <w:szCs w:val="18"/>
    </w:rPr>
  </w:style>
  <w:style w:type="character" w:customStyle="1" w:styleId="Char1">
    <w:name w:val="标题 Char"/>
    <w:link w:val="Title"/>
    <w:uiPriority w:val="10"/>
    <w:qFormat/>
    <w:rPr>
      <w:rFonts w:ascii="Cambria" w:eastAsia="方正小标宋_GBK" w:hAnsi="Cambria" w:cs="Times New Roman"/>
      <w:bCs/>
      <w:sz w:val="40"/>
      <w:szCs w:val="32"/>
    </w:rPr>
  </w:style>
  <w:style w:type="character" w:customStyle="1" w:styleId="1Char">
    <w:name w:val="标题 1 Char"/>
    <w:link w:val="Heading1"/>
    <w:uiPriority w:val="9"/>
    <w:qFormat/>
    <w:rPr>
      <w:rFonts w:eastAsia="方正黑体_GBK"/>
      <w:bCs/>
      <w:kern w:val="44"/>
      <w:sz w:val="30"/>
      <w:szCs w:val="44"/>
    </w:rPr>
  </w:style>
  <w:style w:type="character" w:customStyle="1" w:styleId="2Char">
    <w:name w:val="标题 2 Char"/>
    <w:link w:val="Heading2"/>
    <w:uiPriority w:val="9"/>
    <w:semiHidden/>
    <w:qFormat/>
    <w:rPr>
      <w:rFonts w:ascii="Cambria" w:eastAsia="方正楷体_GBK" w:hAnsi="Cambria" w:cs="Times New Roman"/>
      <w:bCs/>
      <w:sz w:val="30"/>
      <w:szCs w:val="32"/>
    </w:rPr>
  </w:style>
  <w:style w:type="character" w:customStyle="1" w:styleId="Char2">
    <w:name w:val="副标题 Char"/>
    <w:link w:val="Subtitle"/>
    <w:uiPriority w:val="11"/>
    <w:qFormat/>
    <w:rPr>
      <w:rFonts w:ascii="Cambria" w:eastAsia="方正楷体_GBK" w:hAnsi="Cambria" w:cs="Times New Roman"/>
      <w:bCs/>
      <w:kern w:val="28"/>
      <w:sz w:val="30"/>
      <w:szCs w:val="32"/>
    </w:rPr>
  </w:style>
  <w:style w:type="character" w:customStyle="1" w:styleId="Char3">
    <w:name w:val="批注框文本 Char"/>
    <w:link w:val="BalloonText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opt/apps/cn.wps.wps-office-pro/files/kingsoft/wps-office/office6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6</TotalTime>
  <Pages>7</Pages>
  <Words>553</Words>
  <Characters>3157</Characters>
  <Application>Microsoft Office Word</Application>
  <DocSecurity>0</DocSecurity>
  <Lines>26</Lines>
  <Paragraphs>7</Paragraphs>
  <ScaleCrop>false</ScaleCrop>
  <Company>Lenovo</Company>
  <LinksUpToDate>false</LinksUpToDate>
  <CharactersWithSpaces>3703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张国华</dc:creator>
  <cp:lastModifiedBy>guest</cp:lastModifiedBy>
  <cp:revision>12</cp:revision>
  <cp:lastPrinted>2021-01-30T17:45:00Z</cp:lastPrinted>
  <dcterms:created xsi:type="dcterms:W3CDTF">2019-12-27T23:22:00Z</dcterms:created>
  <dcterms:modified xsi:type="dcterms:W3CDTF">2022-03-04T11:43:13Z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