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EFA" w:rsidRDefault="0055765A">
      <w:pPr>
        <w:jc w:val="center"/>
        <w:rPr>
          <w:rFonts w:ascii="方正小标宋简体" w:eastAsia="方正小标宋简体" w:hAnsi="方正小标宋简体" w:cs="方正小标宋简体"/>
          <w:bCs/>
          <w:color w:val="000000"/>
          <w:kern w:val="0"/>
          <w:sz w:val="44"/>
          <w:szCs w:val="44"/>
        </w:rPr>
      </w:pPr>
      <w:r>
        <w:rPr>
          <w:rFonts w:ascii="方正小标宋简体" w:eastAsia="方正小标宋简体" w:hAnsi="方正小标宋简体" w:cs="方正小标宋简体" w:hint="eastAsia"/>
          <w:bCs/>
          <w:color w:val="000000"/>
          <w:kern w:val="0"/>
          <w:sz w:val="44"/>
          <w:szCs w:val="44"/>
        </w:rPr>
        <w:t>陕西省雷电防护装置检测机构监督管理办法（修订草案）</w:t>
      </w:r>
    </w:p>
    <w:p w:rsidR="00680EFA" w:rsidRDefault="00680EFA">
      <w:pPr>
        <w:rPr>
          <w:rFonts w:ascii="仿宋_GB2312" w:eastAsia="仿宋_GB2312" w:hAnsi="仿宋_GB2312" w:cs="仿宋_GB2312"/>
          <w:bCs/>
          <w:color w:val="000000"/>
          <w:kern w:val="0"/>
          <w:sz w:val="32"/>
          <w:szCs w:val="32"/>
        </w:rPr>
      </w:pPr>
    </w:p>
    <w:p w:rsidR="00680EFA" w:rsidRDefault="0055765A">
      <w:pPr>
        <w:jc w:val="center"/>
        <w:rPr>
          <w:rFonts w:ascii="仿宋_GB2312" w:eastAsia="仿宋_GB2312" w:hAnsi="仿宋_GB2312" w:cs="仿宋_GB2312"/>
          <w:bCs/>
          <w:color w:val="000000"/>
          <w:kern w:val="0"/>
          <w:sz w:val="32"/>
          <w:szCs w:val="32"/>
        </w:rPr>
      </w:pPr>
      <w:r>
        <w:rPr>
          <w:rFonts w:ascii="黑体" w:eastAsia="黑体" w:hAnsi="黑体" w:cs="黑体" w:hint="eastAsia"/>
          <w:bCs/>
          <w:color w:val="000000"/>
          <w:kern w:val="0"/>
          <w:sz w:val="32"/>
          <w:szCs w:val="32"/>
        </w:rPr>
        <w:t>第一章</w:t>
      </w:r>
      <w:r>
        <w:rPr>
          <w:rFonts w:ascii="黑体" w:eastAsia="黑体" w:hAnsi="黑体" w:cs="黑体" w:hint="eastAsia"/>
          <w:bCs/>
          <w:color w:val="000000"/>
          <w:kern w:val="0"/>
          <w:sz w:val="32"/>
          <w:szCs w:val="32"/>
        </w:rPr>
        <w:t xml:space="preserve"> </w:t>
      </w:r>
      <w:r>
        <w:rPr>
          <w:rFonts w:ascii="黑体" w:eastAsia="黑体" w:hAnsi="黑体" w:cs="黑体" w:hint="eastAsia"/>
          <w:bCs/>
          <w:color w:val="000000"/>
          <w:kern w:val="0"/>
          <w:sz w:val="32"/>
          <w:szCs w:val="32"/>
        </w:rPr>
        <w:t>总则</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第一条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为了加强雷电防护装置检测机构（以下简称“检测机构”）的监督管理，规范雷电防护装置检测（以下简称“防雷检测”）活动，提升检测质量，保障人民生命财产安全，根据《中华人民共和国安全生产法》、《气象灾害防御条例》、《雷电防护装置检测资质管理办法》等法律、法规和规章，结合本省实际，制定本办法。</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第二条</w:t>
      </w:r>
      <w:r>
        <w:rPr>
          <w:rFonts w:ascii="仿宋_GB2312" w:eastAsia="仿宋_GB2312" w:hAnsi="仿宋_GB2312" w:cs="仿宋_GB2312" w:hint="eastAsia"/>
          <w:b/>
          <w:color w:val="000000"/>
          <w:kern w:val="0"/>
          <w:sz w:val="32"/>
          <w:szCs w:val="32"/>
        </w:rPr>
        <w:t xml:space="preserve"> </w:t>
      </w:r>
      <w:r>
        <w:rPr>
          <w:rFonts w:ascii="仿宋_GB2312" w:eastAsia="仿宋_GB2312" w:hAnsi="仿宋_GB2312" w:cs="仿宋_GB2312" w:hint="eastAsia"/>
          <w:b/>
          <w:color w:val="000000"/>
          <w:kern w:val="0"/>
          <w:sz w:val="32"/>
          <w:szCs w:val="32"/>
        </w:rPr>
        <w:t xml:space="preserve"> </w:t>
      </w:r>
      <w:r>
        <w:rPr>
          <w:rFonts w:ascii="仿宋_GB2312" w:eastAsia="仿宋_GB2312" w:hAnsi="仿宋_GB2312" w:cs="仿宋_GB2312" w:hint="eastAsia"/>
          <w:bCs/>
          <w:color w:val="000000"/>
          <w:kern w:val="0"/>
          <w:sz w:val="32"/>
          <w:szCs w:val="32"/>
        </w:rPr>
        <w:t>在本省行政区域内从事防雷检测活动以及对检测机构实施监督管理，适用本办法。</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第三条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本办法所称检测机构，是指依法取得国务院气象主管机构或者省级气象主管机构颁发的《雷电防护装置检测资质证》的企业、事业单位或其他专业技术组织。</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第四条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省气象主管机构负责全省检测机构的统一监督管理工作，包括资质许可、信息报告与公示、质量考核、信用管理等。</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设区的市、县（区）气象主管机构负责本行政区域内检测</w:t>
      </w:r>
      <w:r>
        <w:rPr>
          <w:rFonts w:ascii="仿宋_GB2312" w:eastAsia="仿宋_GB2312" w:hAnsi="仿宋_GB2312" w:cs="仿宋_GB2312" w:hint="eastAsia"/>
          <w:bCs/>
          <w:color w:val="000000"/>
          <w:kern w:val="0"/>
          <w:sz w:val="32"/>
          <w:szCs w:val="32"/>
        </w:rPr>
        <w:lastRenderedPageBreak/>
        <w:t>机构的日常监督检查、违法违规行为查处，并协助省气象主管机构开展相关监督管理工作。</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第五条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检测机构应当严格落实主体责任，遵守法律法规、技术标准和执业规范，确保检测数据、结论的真实、客观、准确，对出具的检测报告依法承担法律责任。</w:t>
      </w:r>
    </w:p>
    <w:p w:rsidR="00680EFA" w:rsidRDefault="0055765A">
      <w:pPr>
        <w:jc w:val="center"/>
        <w:rPr>
          <w:rFonts w:ascii="仿宋_GB2312" w:eastAsia="仿宋_GB2312" w:hAnsi="仿宋_GB2312" w:cs="仿宋_GB2312"/>
          <w:bCs/>
          <w:color w:val="000000"/>
          <w:kern w:val="0"/>
          <w:sz w:val="32"/>
          <w:szCs w:val="32"/>
        </w:rPr>
      </w:pPr>
      <w:r>
        <w:rPr>
          <w:rFonts w:ascii="黑体" w:eastAsia="黑体" w:hAnsi="黑体" w:cs="黑体" w:hint="eastAsia"/>
          <w:bCs/>
          <w:color w:val="000000"/>
          <w:kern w:val="0"/>
          <w:sz w:val="32"/>
          <w:szCs w:val="32"/>
        </w:rPr>
        <w:t>第二章</w:t>
      </w:r>
      <w:r>
        <w:rPr>
          <w:rFonts w:ascii="黑体" w:eastAsia="黑体" w:hAnsi="黑体" w:cs="黑体" w:hint="eastAsia"/>
          <w:bCs/>
          <w:color w:val="000000"/>
          <w:kern w:val="0"/>
          <w:sz w:val="32"/>
          <w:szCs w:val="32"/>
        </w:rPr>
        <w:t xml:space="preserve"> </w:t>
      </w:r>
      <w:r>
        <w:rPr>
          <w:rFonts w:ascii="黑体" w:eastAsia="黑体" w:hAnsi="黑体" w:cs="黑体" w:hint="eastAsia"/>
          <w:bCs/>
          <w:color w:val="000000"/>
          <w:kern w:val="0"/>
          <w:sz w:val="32"/>
          <w:szCs w:val="32"/>
        </w:rPr>
        <w:t>从业规范</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第六条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检测机构必须在资质等级许可的业务范围内从事防雷检测活动，严禁无资质、超资质等级或挂靠、出租、出借、转让资质等方式承接业务。</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第七条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检测机构及其人员应遵循客观独立、公平公正、诚实信用的原则，不得与其检测项目的设计、施工单位以及所使用的防雷产品生产、销售单位存在隶属关系或其他利害关系。</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第八条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检测机构的专业技术人员必须为本机构正式聘用人员，</w:t>
      </w:r>
      <w:r>
        <w:rPr>
          <w:rFonts w:ascii="仿宋_GB2312" w:eastAsia="仿宋_GB2312" w:hAnsi="仿宋_GB2312" w:cs="仿宋_GB2312" w:hint="eastAsia"/>
          <w:bCs/>
          <w:color w:val="000000"/>
          <w:kern w:val="0"/>
          <w:sz w:val="32"/>
          <w:szCs w:val="32"/>
        </w:rPr>
        <w:t>并签订劳动合同，在执业期间由本机构连续缴纳社会保险。禁止从业人员同时在两个及以上检测机构兼职从业。</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第九条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检测机构开展检测活动时，承担现场检测任务的人员必须到现场实际地点开展工作，并对检测数据的真实性、准确性负责。</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第十条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检测机构不得有下列行为：</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（一）伪造、篡改检测数据和原始记录，或出具虚假、严</w:t>
      </w:r>
      <w:r>
        <w:rPr>
          <w:rFonts w:ascii="仿宋_GB2312" w:eastAsia="仿宋_GB2312" w:hAnsi="仿宋_GB2312" w:cs="仿宋_GB2312" w:hint="eastAsia"/>
          <w:bCs/>
          <w:color w:val="000000"/>
          <w:kern w:val="0"/>
          <w:sz w:val="32"/>
          <w:szCs w:val="32"/>
        </w:rPr>
        <w:lastRenderedPageBreak/>
        <w:t>重失实的检测报告；</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（二）转包或违法分包防雷检测项目；</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（三）更改、简化防雷检测程序和相关内容，违反有关法规标准规定；</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（四）冒用他人名义或允许他人冒用本人名义在检测报告和原始记录中签名；</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（五）拒不接受或</w:t>
      </w:r>
      <w:r>
        <w:rPr>
          <w:rFonts w:ascii="仿宋_GB2312" w:eastAsia="仿宋_GB2312" w:hAnsi="仿宋_GB2312" w:cs="仿宋_GB2312" w:hint="eastAsia"/>
          <w:bCs/>
          <w:color w:val="000000"/>
          <w:kern w:val="0"/>
          <w:sz w:val="32"/>
          <w:szCs w:val="32"/>
        </w:rPr>
        <w:t>阻碍气象主管机构依法实施的监督检查；</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（六）法律、法规、规章禁止的其他行为。</w:t>
      </w:r>
    </w:p>
    <w:p w:rsidR="00680EFA" w:rsidRDefault="0055765A">
      <w:pPr>
        <w:jc w:val="center"/>
        <w:rPr>
          <w:rFonts w:ascii="仿宋_GB2312" w:eastAsia="仿宋_GB2312" w:hAnsi="仿宋_GB2312" w:cs="仿宋_GB2312"/>
          <w:bCs/>
          <w:color w:val="000000"/>
          <w:kern w:val="0"/>
          <w:sz w:val="32"/>
          <w:szCs w:val="32"/>
        </w:rPr>
      </w:pPr>
      <w:r>
        <w:rPr>
          <w:rFonts w:ascii="黑体" w:eastAsia="黑体" w:hAnsi="黑体" w:cs="黑体" w:hint="eastAsia"/>
          <w:bCs/>
          <w:color w:val="000000"/>
          <w:kern w:val="0"/>
          <w:sz w:val="32"/>
          <w:szCs w:val="32"/>
        </w:rPr>
        <w:t>第三章</w:t>
      </w:r>
      <w:r>
        <w:rPr>
          <w:rFonts w:ascii="黑体" w:eastAsia="黑体" w:hAnsi="黑体" w:cs="黑体" w:hint="eastAsia"/>
          <w:bCs/>
          <w:color w:val="000000"/>
          <w:kern w:val="0"/>
          <w:sz w:val="32"/>
          <w:szCs w:val="32"/>
        </w:rPr>
        <w:t xml:space="preserve"> </w:t>
      </w:r>
      <w:r>
        <w:rPr>
          <w:rFonts w:ascii="黑体" w:eastAsia="黑体" w:hAnsi="黑体" w:cs="黑体" w:hint="eastAsia"/>
          <w:bCs/>
          <w:color w:val="000000"/>
          <w:kern w:val="0"/>
          <w:sz w:val="32"/>
          <w:szCs w:val="32"/>
        </w:rPr>
        <w:t>信息报告与公示</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第十一条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在本省取得资质的检测机构，以及跨省进入本省从事防雷检测活动的机构（含其分支机构），应在开展业务前，通过全国防雷减灾综合管理服务平台向省气象主管机构报告以下信息，并对信息的真实性负责：</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（一）资质证书、法定代表人身份证明；</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（二）技术负责人、质量负责人及其他专业技术人员的任职文件、职称证书、身份证明、劳动合同及社保证明；</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（三）检测仪器、设备清单及其检定或校准有效证书；</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（四）内部管理制度（包括安全生产、质量管理、档案管理等）；</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（五）跨省机构及分支机构还需提供：法定代表人授权书、</w:t>
      </w:r>
      <w:r>
        <w:rPr>
          <w:rFonts w:ascii="仿宋_GB2312" w:eastAsia="仿宋_GB2312" w:hAnsi="仿宋_GB2312" w:cs="仿宋_GB2312" w:hint="eastAsia"/>
          <w:bCs/>
          <w:color w:val="000000"/>
          <w:kern w:val="0"/>
          <w:sz w:val="32"/>
          <w:szCs w:val="32"/>
        </w:rPr>
        <w:lastRenderedPageBreak/>
        <w:t>在本省的固定办公场所证明、在陕常驻专业技术人员的上述相关资料。</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第十二条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省气象主管机构应对报告的信息进行核查，并可指派两名以上工作人员进行现场核实。对信息齐全、符合要求的机构，其基本信息应在省气象主管机构门户网站向社会公示，接受监督。</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第十三条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已报告的信息发生变更的，检测机构应自变更之日起十个工作日内向省气象主管机构申请变更。省气象主管机构应在收到申请后十个工作日内完成核实与更新。</w:t>
      </w:r>
    </w:p>
    <w:p w:rsidR="00680EFA" w:rsidRDefault="0055765A">
      <w:pPr>
        <w:jc w:val="center"/>
        <w:rPr>
          <w:rFonts w:ascii="仿宋_GB2312" w:eastAsia="仿宋_GB2312" w:hAnsi="仿宋_GB2312" w:cs="仿宋_GB2312"/>
          <w:bCs/>
          <w:color w:val="000000"/>
          <w:kern w:val="0"/>
          <w:sz w:val="32"/>
          <w:szCs w:val="32"/>
        </w:rPr>
      </w:pPr>
      <w:r>
        <w:rPr>
          <w:rFonts w:ascii="黑体" w:eastAsia="黑体" w:hAnsi="黑体" w:cs="黑体" w:hint="eastAsia"/>
          <w:bCs/>
          <w:color w:val="000000"/>
          <w:kern w:val="0"/>
          <w:sz w:val="32"/>
          <w:szCs w:val="32"/>
        </w:rPr>
        <w:t>第四章</w:t>
      </w:r>
      <w:r>
        <w:rPr>
          <w:rFonts w:ascii="黑体" w:eastAsia="黑体" w:hAnsi="黑体" w:cs="黑体" w:hint="eastAsia"/>
          <w:bCs/>
          <w:color w:val="000000"/>
          <w:kern w:val="0"/>
          <w:sz w:val="32"/>
          <w:szCs w:val="32"/>
        </w:rPr>
        <w:t xml:space="preserve"> </w:t>
      </w:r>
      <w:r>
        <w:rPr>
          <w:rFonts w:ascii="黑体" w:eastAsia="黑体" w:hAnsi="黑体" w:cs="黑体" w:hint="eastAsia"/>
          <w:bCs/>
          <w:color w:val="000000"/>
          <w:kern w:val="0"/>
          <w:sz w:val="32"/>
          <w:szCs w:val="32"/>
        </w:rPr>
        <w:t>检测过程与质量控制</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第十四条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检测机构应严格按照现行有效的国家标准和规范开展检测活动，确保检测内容全面、方法正确、结论明确。</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第十五条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检测活动应留有可追溯的记录。检测机构应如实、完整记录现场情况、检测过程和检测数据，并与现场照片、视频等影像资料一并及时归档，保存期不少于</w:t>
      </w:r>
      <w:r>
        <w:rPr>
          <w:rFonts w:ascii="仿宋_GB2312" w:eastAsia="仿宋_GB2312" w:hAnsi="仿宋_GB2312" w:cs="仿宋_GB2312" w:hint="eastAsia"/>
          <w:bCs/>
          <w:color w:val="000000"/>
          <w:kern w:val="0"/>
          <w:sz w:val="32"/>
          <w:szCs w:val="32"/>
        </w:rPr>
        <w:t>三</w:t>
      </w:r>
      <w:r>
        <w:rPr>
          <w:rFonts w:ascii="仿宋_GB2312" w:eastAsia="仿宋_GB2312" w:hAnsi="仿宋_GB2312" w:cs="仿宋_GB2312" w:hint="eastAsia"/>
          <w:bCs/>
          <w:color w:val="000000"/>
          <w:kern w:val="0"/>
          <w:sz w:val="32"/>
          <w:szCs w:val="32"/>
        </w:rPr>
        <w:t>年。</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第十六条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报告应采用省级气象主管机构制定的示范文本，结论应明确。报告须经检测员、审核人签字，由机构法定代表人或其授权签字人签发，并加盖检测机构公章（或检验检测专用章）后方可生效。检测原始记录还需经受检单位相关人员签字确认</w:t>
      </w:r>
      <w:r>
        <w:rPr>
          <w:rFonts w:ascii="仿宋_GB2312" w:eastAsia="仿宋_GB2312" w:hAnsi="仿宋_GB2312" w:cs="仿宋_GB2312" w:hint="eastAsia"/>
          <w:bCs/>
          <w:color w:val="000000"/>
          <w:kern w:val="0"/>
          <w:sz w:val="32"/>
          <w:szCs w:val="32"/>
        </w:rPr>
        <w:t>。</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lastRenderedPageBreak/>
        <w:t>第十七条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检测机构对检测不合格的雷电防护装置，应书面提出整改意见。受检单位拒不整改或整改后仍不合格的，检测机构应及时报告项目所在地气象主管机构。</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第十八条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检测机构应在检测项目完成后十个工作日内，将检测报告上传至全国防雷减灾综合管理服务平台，并获取对应的检测标识码。</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第十九条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检测机构应建立健全档案管理制度。委托协议、检测方案、原始记录、检测报告等资料应按年度分类归档，连续编号，不得抽撤、涂改。</w:t>
      </w:r>
    </w:p>
    <w:p w:rsidR="00680EFA" w:rsidRDefault="0055765A">
      <w:pPr>
        <w:jc w:val="center"/>
        <w:rPr>
          <w:rFonts w:ascii="仿宋_GB2312" w:eastAsia="仿宋_GB2312" w:hAnsi="仿宋_GB2312" w:cs="仿宋_GB2312"/>
          <w:bCs/>
          <w:color w:val="000000"/>
          <w:kern w:val="0"/>
          <w:sz w:val="32"/>
          <w:szCs w:val="32"/>
        </w:rPr>
      </w:pPr>
      <w:r>
        <w:rPr>
          <w:rFonts w:ascii="黑体" w:eastAsia="黑体" w:hAnsi="黑体" w:cs="黑体" w:hint="eastAsia"/>
          <w:bCs/>
          <w:color w:val="000000"/>
          <w:kern w:val="0"/>
          <w:sz w:val="32"/>
          <w:szCs w:val="32"/>
        </w:rPr>
        <w:t>第五章</w:t>
      </w:r>
      <w:r>
        <w:rPr>
          <w:rFonts w:ascii="黑体" w:eastAsia="黑体" w:hAnsi="黑体" w:cs="黑体" w:hint="eastAsia"/>
          <w:bCs/>
          <w:color w:val="000000"/>
          <w:kern w:val="0"/>
          <w:sz w:val="32"/>
          <w:szCs w:val="32"/>
        </w:rPr>
        <w:t xml:space="preserve"> </w:t>
      </w:r>
      <w:r>
        <w:rPr>
          <w:rFonts w:ascii="黑体" w:eastAsia="黑体" w:hAnsi="黑体" w:cs="黑体" w:hint="eastAsia"/>
          <w:bCs/>
          <w:color w:val="000000"/>
          <w:kern w:val="0"/>
          <w:sz w:val="32"/>
          <w:szCs w:val="32"/>
        </w:rPr>
        <w:t>监督检查</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第二十条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县级以上气象主管机构应将检测机构纳入年度安全生产监督检查计划，运用“双随机、一公开”方式实施监督检查。对投诉举报多、有严重违法违规记录、质量考核不合格的检测机构，应实施重点监管。</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第二十一条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气象主管机构进行监督检查时，有权采取下列措施：</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（一）进入检测机构办公场所、检测现场进行检查；</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（二）查阅、复制检测合同、报告、原始记录、社保缴纳记录、财务凭证等相关资料；</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（三）询问机构相关人员及检测服务对象；</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lastRenderedPageBreak/>
        <w:t>（四）在证据可能灭失或以后难以取得的情况下，经负责人批准，可以依法登记保存相关证据。</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监督检查应通过文字</w:t>
      </w:r>
      <w:r>
        <w:rPr>
          <w:rFonts w:ascii="仿宋_GB2312" w:eastAsia="仿宋_GB2312" w:hAnsi="仿宋_GB2312" w:cs="仿宋_GB2312" w:hint="eastAsia"/>
          <w:bCs/>
          <w:color w:val="000000"/>
          <w:kern w:val="0"/>
          <w:sz w:val="32"/>
          <w:szCs w:val="32"/>
        </w:rPr>
        <w:t>、录音、录像等方式全程记录。</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第二十二条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检测机构有下列情形之一的，由县级以上气象主管机构责令限期改正：</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（一）检测标准适用错误或检测方法不正确的；</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（二）检测内容不全，不足以支持检测结论的；</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（三）检测结论不明确或错误的；</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（四）未按规定时限上传检测报告的；</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（五）档案管理混乱，资料缺失严重的。</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第二十三条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检测机构有下列情形之一的，省气象主管机构应向社会公示：</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（一）未按规定履行信息报告或变更手续的；</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（二）拒不接受或配合气象主管机构监督检查的；</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（三）在质量考核中被评定为不合格的；</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（四）被气象主管机构行政处罚的；</w:t>
      </w:r>
    </w:p>
    <w:p w:rsidR="00680EFA" w:rsidRDefault="0055765A">
      <w:pPr>
        <w:ind w:firstLineChars="200" w:firstLine="640"/>
        <w:rPr>
          <w:rFonts w:ascii="仿宋_GB2312" w:eastAsia="仿宋_GB2312" w:hAnsi="仿宋_GB2312" w:cs="仿宋_GB2312"/>
          <w:bCs/>
          <w:color w:val="000000"/>
          <w:kern w:val="0"/>
          <w:sz w:val="32"/>
          <w:szCs w:val="32"/>
        </w:rPr>
      </w:pPr>
      <w:r>
        <w:rPr>
          <w:rFonts w:ascii="仿宋_GB2312" w:eastAsia="仿宋_GB2312" w:hAnsi="仿宋_GB2312" w:cs="仿宋_GB2312" w:hint="eastAsia"/>
          <w:bCs/>
          <w:color w:val="000000"/>
          <w:kern w:val="0"/>
          <w:sz w:val="32"/>
          <w:szCs w:val="32"/>
        </w:rPr>
        <w:t>（五）被纳入失信联合惩戒对象名单的。</w:t>
      </w:r>
    </w:p>
    <w:p w:rsidR="00680EFA" w:rsidRDefault="0055765A">
      <w:pPr>
        <w:jc w:val="center"/>
        <w:rPr>
          <w:rFonts w:ascii="仿宋_GB2312" w:eastAsia="仿宋_GB2312" w:hAnsi="仿宋_GB2312" w:cs="仿宋_GB2312"/>
          <w:bCs/>
          <w:color w:val="000000"/>
          <w:kern w:val="0"/>
          <w:sz w:val="32"/>
          <w:szCs w:val="32"/>
        </w:rPr>
      </w:pPr>
      <w:r>
        <w:rPr>
          <w:rFonts w:ascii="黑体" w:eastAsia="黑体" w:hAnsi="黑体" w:cs="黑体" w:hint="eastAsia"/>
          <w:bCs/>
          <w:color w:val="000000"/>
          <w:kern w:val="0"/>
          <w:sz w:val="32"/>
          <w:szCs w:val="32"/>
        </w:rPr>
        <w:t>第六章</w:t>
      </w:r>
      <w:r>
        <w:rPr>
          <w:rFonts w:ascii="黑体" w:eastAsia="黑体" w:hAnsi="黑体" w:cs="黑体" w:hint="eastAsia"/>
          <w:bCs/>
          <w:color w:val="000000"/>
          <w:kern w:val="0"/>
          <w:sz w:val="32"/>
          <w:szCs w:val="32"/>
        </w:rPr>
        <w:t xml:space="preserve"> </w:t>
      </w:r>
      <w:r>
        <w:rPr>
          <w:rFonts w:ascii="黑体" w:eastAsia="黑体" w:hAnsi="黑体" w:cs="黑体" w:hint="eastAsia"/>
          <w:bCs/>
          <w:color w:val="000000"/>
          <w:kern w:val="0"/>
          <w:sz w:val="32"/>
          <w:szCs w:val="32"/>
        </w:rPr>
        <w:t>质量考核与信用管理</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第二十四条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省气象主管机构应定期组织或委托第三方专业技术机构，对在本省从业的检测机构进行检测质量考核。考</w:t>
      </w:r>
      <w:r>
        <w:rPr>
          <w:rFonts w:ascii="仿宋_GB2312" w:eastAsia="仿宋_GB2312" w:hAnsi="仿宋_GB2312" w:cs="仿宋_GB2312" w:hint="eastAsia"/>
          <w:bCs/>
          <w:color w:val="000000"/>
          <w:kern w:val="0"/>
          <w:sz w:val="32"/>
          <w:szCs w:val="32"/>
        </w:rPr>
        <w:lastRenderedPageBreak/>
        <w:t>核内容包括但不限于：检测报告质量、现场检测能力、仪器设备状况、内部管理水平等。</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第二十五条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质量考核结果分为“合格”、“基本合格”（或“一般不合格”）、“严重不合格”。考核结果应在省气象主管机构门户网站公开，并记入检测机构信用档案。检测机构对结果有异议的，可自公开之日起十个工作日内申请复核。</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第二十六条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对考核“严重不合格”的检测机构，省气象主管机构应对其法定代表人和技术负责人进行警示约谈，责令其限期整改。对跨省机构的考核结果，应通报其资质认定机构。</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第二十七条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省气象主管机构应建立健全检测机构信用评价体系，实施分级分类监管。市、县气象主管机构负责归集、报送本行政区域内检测机构的信用信息。</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第二十八条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鼓励雷电灾害防御行业协会开展行业自律、信用评价和服务满意度调查，引导行业健康有序发展。</w:t>
      </w:r>
    </w:p>
    <w:p w:rsidR="00680EFA" w:rsidRDefault="0055765A">
      <w:pPr>
        <w:jc w:val="center"/>
        <w:rPr>
          <w:rFonts w:ascii="仿宋_GB2312" w:eastAsia="仿宋_GB2312" w:hAnsi="仿宋_GB2312" w:cs="仿宋_GB2312"/>
          <w:bCs/>
          <w:color w:val="000000"/>
          <w:kern w:val="0"/>
          <w:sz w:val="32"/>
          <w:szCs w:val="32"/>
        </w:rPr>
      </w:pPr>
      <w:r>
        <w:rPr>
          <w:rFonts w:ascii="黑体" w:eastAsia="黑体" w:hAnsi="黑体" w:cs="黑体" w:hint="eastAsia"/>
          <w:bCs/>
          <w:color w:val="000000"/>
          <w:kern w:val="0"/>
          <w:sz w:val="32"/>
          <w:szCs w:val="32"/>
        </w:rPr>
        <w:t>第七章</w:t>
      </w:r>
      <w:r>
        <w:rPr>
          <w:rFonts w:ascii="黑体" w:eastAsia="黑体" w:hAnsi="黑体" w:cs="黑体" w:hint="eastAsia"/>
          <w:bCs/>
          <w:color w:val="000000"/>
          <w:kern w:val="0"/>
          <w:sz w:val="32"/>
          <w:szCs w:val="32"/>
        </w:rPr>
        <w:t xml:space="preserve"> </w:t>
      </w:r>
      <w:r>
        <w:rPr>
          <w:rFonts w:ascii="黑体" w:eastAsia="黑体" w:hAnsi="黑体" w:cs="黑体" w:hint="eastAsia"/>
          <w:bCs/>
          <w:color w:val="000000"/>
          <w:kern w:val="0"/>
          <w:sz w:val="32"/>
          <w:szCs w:val="32"/>
        </w:rPr>
        <w:t>附则</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第二十九条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违反本办法规定的行为，法律、法规、规章已有处罚规定的，从其规定。</w:t>
      </w:r>
    </w:p>
    <w:p w:rsidR="00680EFA" w:rsidRDefault="0055765A">
      <w:pPr>
        <w:ind w:firstLineChars="200" w:firstLine="643"/>
        <w:rPr>
          <w:rFonts w:ascii="仿宋_GB2312" w:eastAsia="仿宋_GB2312" w:hAnsi="仿宋_GB2312" w:cs="仿宋_GB2312"/>
          <w:bCs/>
          <w:color w:val="000000"/>
          <w:kern w:val="0"/>
          <w:sz w:val="32"/>
          <w:szCs w:val="32"/>
        </w:rPr>
      </w:pPr>
      <w:r>
        <w:rPr>
          <w:rFonts w:ascii="仿宋_GB2312" w:eastAsia="仿宋_GB2312" w:hAnsi="仿宋_GB2312" w:cs="仿宋_GB2312" w:hint="eastAsia"/>
          <w:b/>
          <w:color w:val="000000"/>
          <w:kern w:val="0"/>
          <w:sz w:val="32"/>
          <w:szCs w:val="32"/>
        </w:rPr>
        <w:t>第三十条</w:t>
      </w:r>
      <w:r>
        <w:rPr>
          <w:rFonts w:ascii="仿宋_GB2312" w:eastAsia="仿宋_GB2312" w:hAnsi="仿宋_GB2312" w:cs="仿宋_GB2312" w:hint="eastAsia"/>
          <w:bCs/>
          <w:color w:val="000000"/>
          <w:kern w:val="0"/>
          <w:sz w:val="32"/>
          <w:szCs w:val="32"/>
        </w:rPr>
        <w:t xml:space="preserve"> </w:t>
      </w:r>
      <w:r>
        <w:rPr>
          <w:rFonts w:ascii="仿宋_GB2312" w:eastAsia="仿宋_GB2312" w:hAnsi="仿宋_GB2312" w:cs="仿宋_GB2312" w:hint="eastAsia"/>
          <w:bCs/>
          <w:color w:val="000000"/>
          <w:kern w:val="0"/>
          <w:sz w:val="32"/>
          <w:szCs w:val="32"/>
        </w:rPr>
        <w:t xml:space="preserve"> </w:t>
      </w:r>
      <w:bookmarkStart w:id="0" w:name="_GoBack"/>
      <w:bookmarkEnd w:id="0"/>
      <w:r>
        <w:rPr>
          <w:rFonts w:ascii="仿宋_GB2312" w:eastAsia="仿宋_GB2312" w:hAnsi="仿宋_GB2312" w:cs="仿宋_GB2312" w:hint="eastAsia"/>
          <w:bCs/>
          <w:color w:val="000000"/>
          <w:kern w:val="0"/>
          <w:sz w:val="32"/>
          <w:szCs w:val="32"/>
        </w:rPr>
        <w:t>本办法</w:t>
      </w:r>
      <w:r>
        <w:rPr>
          <w:rFonts w:ascii="仿宋_GB2312" w:eastAsia="仿宋_GB2312" w:hAnsi="仿宋_GB2312" w:cs="仿宋_GB2312" w:hint="eastAsia"/>
          <w:bCs/>
          <w:color w:val="000000"/>
          <w:kern w:val="0"/>
          <w:sz w:val="32"/>
          <w:szCs w:val="32"/>
        </w:rPr>
        <w:t>自</w:t>
      </w:r>
      <w:r>
        <w:rPr>
          <w:rFonts w:ascii="仿宋_GB2312" w:eastAsia="仿宋_GB2312" w:hAnsi="仿宋_GB2312" w:cs="仿宋_GB2312" w:hint="eastAsia"/>
          <w:bCs/>
          <w:color w:val="000000"/>
          <w:kern w:val="0"/>
          <w:sz w:val="32"/>
          <w:szCs w:val="32"/>
        </w:rPr>
        <w:t>XXXX</w:t>
      </w:r>
      <w:r>
        <w:rPr>
          <w:rFonts w:ascii="仿宋_GB2312" w:eastAsia="仿宋_GB2312" w:hAnsi="仿宋_GB2312" w:cs="仿宋_GB2312" w:hint="eastAsia"/>
          <w:bCs/>
          <w:color w:val="000000"/>
          <w:kern w:val="0"/>
          <w:sz w:val="32"/>
          <w:szCs w:val="32"/>
        </w:rPr>
        <w:t>年</w:t>
      </w:r>
      <w:r>
        <w:rPr>
          <w:rFonts w:ascii="仿宋_GB2312" w:eastAsia="仿宋_GB2312" w:hAnsi="仿宋_GB2312" w:cs="仿宋_GB2312" w:hint="eastAsia"/>
          <w:bCs/>
          <w:color w:val="000000"/>
          <w:kern w:val="0"/>
          <w:sz w:val="32"/>
          <w:szCs w:val="32"/>
        </w:rPr>
        <w:t>XX</w:t>
      </w:r>
      <w:r>
        <w:rPr>
          <w:rFonts w:ascii="仿宋_GB2312" w:eastAsia="仿宋_GB2312" w:hAnsi="仿宋_GB2312" w:cs="仿宋_GB2312" w:hint="eastAsia"/>
          <w:bCs/>
          <w:color w:val="000000"/>
          <w:kern w:val="0"/>
          <w:sz w:val="32"/>
          <w:szCs w:val="32"/>
        </w:rPr>
        <w:t>月</w:t>
      </w:r>
      <w:r>
        <w:rPr>
          <w:rFonts w:ascii="仿宋_GB2312" w:eastAsia="仿宋_GB2312" w:hAnsi="仿宋_GB2312" w:cs="仿宋_GB2312" w:hint="eastAsia"/>
          <w:bCs/>
          <w:color w:val="000000"/>
          <w:kern w:val="0"/>
          <w:sz w:val="32"/>
          <w:szCs w:val="32"/>
        </w:rPr>
        <w:t>XX</w:t>
      </w:r>
      <w:r>
        <w:rPr>
          <w:rFonts w:ascii="仿宋_GB2312" w:eastAsia="仿宋_GB2312" w:hAnsi="仿宋_GB2312" w:cs="仿宋_GB2312" w:hint="eastAsia"/>
          <w:bCs/>
          <w:color w:val="000000"/>
          <w:kern w:val="0"/>
          <w:sz w:val="32"/>
          <w:szCs w:val="32"/>
        </w:rPr>
        <w:t>日起施行。</w:t>
      </w:r>
      <w:r>
        <w:rPr>
          <w:rFonts w:ascii="仿宋_GB2312" w:eastAsia="仿宋_GB2312" w:hAnsi="仿宋_GB2312" w:cs="仿宋_GB2312" w:hint="eastAsia"/>
          <w:bCs/>
          <w:color w:val="000000"/>
          <w:kern w:val="0"/>
          <w:sz w:val="32"/>
          <w:szCs w:val="32"/>
        </w:rPr>
        <w:t>2018</w:t>
      </w:r>
      <w:r>
        <w:rPr>
          <w:rFonts w:ascii="仿宋_GB2312" w:eastAsia="仿宋_GB2312" w:hAnsi="仿宋_GB2312" w:cs="仿宋_GB2312" w:hint="eastAsia"/>
          <w:bCs/>
          <w:color w:val="000000"/>
          <w:kern w:val="0"/>
          <w:sz w:val="32"/>
          <w:szCs w:val="32"/>
        </w:rPr>
        <w:t>年</w:t>
      </w:r>
      <w:r>
        <w:rPr>
          <w:rFonts w:ascii="仿宋_GB2312" w:eastAsia="仿宋_GB2312" w:hAnsi="仿宋_GB2312" w:cs="仿宋_GB2312" w:hint="eastAsia"/>
          <w:bCs/>
          <w:color w:val="000000"/>
          <w:kern w:val="0"/>
          <w:sz w:val="32"/>
          <w:szCs w:val="32"/>
        </w:rPr>
        <w:t>4</w:t>
      </w:r>
      <w:r>
        <w:rPr>
          <w:rFonts w:ascii="仿宋_GB2312" w:eastAsia="仿宋_GB2312" w:hAnsi="仿宋_GB2312" w:cs="仿宋_GB2312" w:hint="eastAsia"/>
          <w:bCs/>
          <w:color w:val="000000"/>
          <w:kern w:val="0"/>
          <w:sz w:val="32"/>
          <w:szCs w:val="32"/>
        </w:rPr>
        <w:t>月</w:t>
      </w:r>
      <w:r>
        <w:rPr>
          <w:rFonts w:ascii="仿宋_GB2312" w:eastAsia="仿宋_GB2312" w:hAnsi="仿宋_GB2312" w:cs="仿宋_GB2312" w:hint="eastAsia"/>
          <w:bCs/>
          <w:color w:val="000000"/>
          <w:kern w:val="0"/>
          <w:sz w:val="32"/>
          <w:szCs w:val="32"/>
        </w:rPr>
        <w:t>28</w:t>
      </w:r>
      <w:r>
        <w:rPr>
          <w:rFonts w:ascii="仿宋_GB2312" w:eastAsia="仿宋_GB2312" w:hAnsi="仿宋_GB2312" w:cs="仿宋_GB2312" w:hint="eastAsia"/>
          <w:bCs/>
          <w:color w:val="000000"/>
          <w:kern w:val="0"/>
          <w:sz w:val="32"/>
          <w:szCs w:val="32"/>
        </w:rPr>
        <w:t>日发布的《陕西省防雷装置检测机构监督管理办法》</w:t>
      </w:r>
      <w:r>
        <w:rPr>
          <w:rFonts w:ascii="仿宋_GB2312" w:eastAsia="仿宋_GB2312" w:hAnsi="仿宋_GB2312" w:cs="仿宋_GB2312" w:hint="eastAsia"/>
          <w:bCs/>
          <w:color w:val="000000"/>
          <w:kern w:val="0"/>
          <w:sz w:val="32"/>
          <w:szCs w:val="32"/>
        </w:rPr>
        <w:t>(</w:t>
      </w:r>
      <w:r>
        <w:rPr>
          <w:rFonts w:ascii="仿宋_GB2312" w:eastAsia="仿宋_GB2312" w:hAnsi="仿宋_GB2312" w:cs="仿宋_GB2312" w:hint="eastAsia"/>
          <w:bCs/>
          <w:color w:val="000000"/>
          <w:kern w:val="0"/>
          <w:sz w:val="32"/>
          <w:szCs w:val="32"/>
        </w:rPr>
        <w:t>陕气发〔</w:t>
      </w:r>
      <w:r>
        <w:rPr>
          <w:rFonts w:ascii="仿宋_GB2312" w:eastAsia="仿宋_GB2312" w:hAnsi="仿宋_GB2312" w:cs="仿宋_GB2312" w:hint="eastAsia"/>
          <w:bCs/>
          <w:color w:val="000000"/>
          <w:kern w:val="0"/>
          <w:sz w:val="32"/>
          <w:szCs w:val="32"/>
        </w:rPr>
        <w:t>2018</w:t>
      </w:r>
      <w:r>
        <w:rPr>
          <w:rFonts w:ascii="仿宋_GB2312" w:eastAsia="仿宋_GB2312" w:hAnsi="仿宋_GB2312" w:cs="仿宋_GB2312" w:hint="eastAsia"/>
          <w:bCs/>
          <w:color w:val="000000"/>
          <w:kern w:val="0"/>
          <w:sz w:val="32"/>
          <w:szCs w:val="32"/>
        </w:rPr>
        <w:t>〕</w:t>
      </w:r>
      <w:r>
        <w:rPr>
          <w:rFonts w:ascii="仿宋_GB2312" w:eastAsia="仿宋_GB2312" w:hAnsi="仿宋_GB2312" w:cs="仿宋_GB2312" w:hint="eastAsia"/>
          <w:bCs/>
          <w:color w:val="000000"/>
          <w:kern w:val="0"/>
          <w:sz w:val="32"/>
          <w:szCs w:val="32"/>
        </w:rPr>
        <w:t>18</w:t>
      </w:r>
      <w:r>
        <w:rPr>
          <w:rFonts w:ascii="仿宋_GB2312" w:eastAsia="仿宋_GB2312" w:hAnsi="仿宋_GB2312" w:cs="仿宋_GB2312" w:hint="eastAsia"/>
          <w:bCs/>
          <w:color w:val="000000"/>
          <w:kern w:val="0"/>
          <w:sz w:val="32"/>
          <w:szCs w:val="32"/>
        </w:rPr>
        <w:t>号</w:t>
      </w:r>
      <w:r>
        <w:rPr>
          <w:rFonts w:ascii="仿宋_GB2312" w:eastAsia="仿宋_GB2312" w:hAnsi="仿宋_GB2312" w:cs="仿宋_GB2312" w:hint="eastAsia"/>
          <w:bCs/>
          <w:color w:val="000000"/>
          <w:kern w:val="0"/>
          <w:sz w:val="32"/>
          <w:szCs w:val="32"/>
        </w:rPr>
        <w:t>)</w:t>
      </w:r>
      <w:r>
        <w:rPr>
          <w:rFonts w:ascii="仿宋_GB2312" w:eastAsia="仿宋_GB2312" w:hAnsi="仿宋_GB2312" w:cs="仿宋_GB2312" w:hint="eastAsia"/>
          <w:bCs/>
          <w:color w:val="000000"/>
          <w:kern w:val="0"/>
          <w:sz w:val="32"/>
          <w:szCs w:val="32"/>
        </w:rPr>
        <w:t>同时废止。</w:t>
      </w:r>
    </w:p>
    <w:sectPr w:rsidR="00680EFA" w:rsidSect="00680EFA">
      <w:headerReference w:type="even" r:id="rId7"/>
      <w:headerReference w:type="default" r:id="rId8"/>
      <w:footerReference w:type="even" r:id="rId9"/>
      <w:footerReference w:type="default" r:id="rId10"/>
      <w:pgSz w:w="11906" w:h="16838"/>
      <w:pgMar w:top="1984" w:right="1587" w:bottom="1701" w:left="1644" w:header="851" w:footer="153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765A" w:rsidRDefault="0055765A" w:rsidP="00680EFA">
      <w:r>
        <w:separator/>
      </w:r>
    </w:p>
  </w:endnote>
  <w:endnote w:type="continuationSeparator" w:id="0">
    <w:p w:rsidR="0055765A" w:rsidRDefault="0055765A" w:rsidP="00680E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0EFA" w:rsidRDefault="00680EFA">
    <w:pPr>
      <w:pStyle w:val="a4"/>
      <w:ind w:firstLineChars="100" w:firstLine="280"/>
      <w:rPr>
        <w:rFonts w:ascii="宋体" w:hAnsi="宋体"/>
        <w:sz w:val="28"/>
      </w:rPr>
    </w:pPr>
    <w:r w:rsidRPr="00680EFA">
      <w:rPr>
        <w:sz w:val="28"/>
      </w:rPr>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filled="f" stroked="f" strokeweight=".5pt">
          <v:textbox style="mso-fit-shape-to-text:t" inset="0,0,0,0">
            <w:txbxContent>
              <w:p w:rsidR="00680EFA" w:rsidRDefault="0055765A">
                <w:pPr>
                  <w:pStyle w:val="a4"/>
                  <w:ind w:firstLineChars="100" w:firstLine="280"/>
                </w:pPr>
                <w:r>
                  <w:rPr>
                    <w:rFonts w:ascii="宋体" w:hAnsi="宋体" w:hint="eastAsia"/>
                    <w:sz w:val="28"/>
                  </w:rPr>
                  <w:t>—</w:t>
                </w:r>
                <w:r w:rsidR="00680EFA">
                  <w:rPr>
                    <w:rFonts w:ascii="宋体" w:hAnsi="宋体"/>
                    <w:sz w:val="28"/>
                  </w:rPr>
                  <w:fldChar w:fldCharType="begin"/>
                </w:r>
                <w:r>
                  <w:rPr>
                    <w:rFonts w:ascii="宋体" w:hAnsi="宋体"/>
                    <w:sz w:val="28"/>
                  </w:rPr>
                  <w:instrText xml:space="preserve"> PAGE \* Arabic \* MERGEFORMAT </w:instrText>
                </w:r>
                <w:r w:rsidR="00680EFA">
                  <w:rPr>
                    <w:rFonts w:ascii="宋体" w:hAnsi="宋体"/>
                    <w:sz w:val="28"/>
                  </w:rPr>
                  <w:fldChar w:fldCharType="separate"/>
                </w:r>
                <w:r w:rsidR="00DC5879">
                  <w:rPr>
                    <w:rFonts w:ascii="宋体" w:hAnsi="宋体"/>
                    <w:noProof/>
                    <w:sz w:val="28"/>
                  </w:rPr>
                  <w:t>6</w:t>
                </w:r>
                <w:r w:rsidR="00680EFA">
                  <w:rPr>
                    <w:rFonts w:ascii="宋体" w:hAnsi="宋体"/>
                    <w:sz w:val="28"/>
                  </w:rPr>
                  <w:fldChar w:fldCharType="end"/>
                </w:r>
                <w:r>
                  <w:rPr>
                    <w:rFonts w:ascii="宋体" w:hAnsi="宋体"/>
                    <w:sz w:val="28"/>
                  </w:rPr>
                  <w:t xml:space="preserve"> —</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0EFA" w:rsidRDefault="00680EFA">
    <w:pPr>
      <w:pStyle w:val="a4"/>
      <w:ind w:rightChars="100" w:right="210"/>
      <w:jc w:val="right"/>
      <w:rPr>
        <w:rFonts w:ascii="宋体" w:hAnsi="宋体"/>
        <w:sz w:val="28"/>
      </w:rPr>
    </w:pPr>
    <w:r w:rsidRPr="00680EFA">
      <w:rPr>
        <w:sz w:val="28"/>
      </w:rP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filled="f" stroked="f" strokeweight=".5pt">
          <v:textbox style="mso-fit-shape-to-text:t" inset="0,0,0,0">
            <w:txbxContent>
              <w:p w:rsidR="00680EFA" w:rsidRDefault="0055765A">
                <w:pPr>
                  <w:pStyle w:val="a4"/>
                  <w:ind w:rightChars="100" w:right="210"/>
                  <w:jc w:val="right"/>
                </w:pPr>
                <w:r>
                  <w:rPr>
                    <w:rFonts w:ascii="宋体" w:hAnsi="宋体" w:hint="eastAsia"/>
                    <w:sz w:val="28"/>
                    <w:lang w:val="zh-CN"/>
                  </w:rPr>
                  <w:t>—</w:t>
                </w:r>
                <w:r w:rsidR="00680EFA">
                  <w:rPr>
                    <w:rFonts w:ascii="宋体" w:hAnsi="宋体"/>
                    <w:sz w:val="28"/>
                    <w:lang w:val="zh-CN"/>
                  </w:rPr>
                  <w:fldChar w:fldCharType="begin"/>
                </w:r>
                <w:r>
                  <w:rPr>
                    <w:rFonts w:ascii="宋体" w:hAnsi="宋体"/>
                    <w:sz w:val="28"/>
                    <w:lang w:val="zh-CN"/>
                  </w:rPr>
                  <w:instrText xml:space="preserve"> PAGE \* Arabic \* MERGEFORMAT </w:instrText>
                </w:r>
                <w:r w:rsidR="00680EFA">
                  <w:rPr>
                    <w:rFonts w:ascii="宋体" w:hAnsi="宋体"/>
                    <w:sz w:val="28"/>
                    <w:lang w:val="zh-CN"/>
                  </w:rPr>
                  <w:fldChar w:fldCharType="separate"/>
                </w:r>
                <w:r w:rsidR="00DC5879">
                  <w:rPr>
                    <w:rFonts w:ascii="宋体" w:hAnsi="宋体"/>
                    <w:noProof/>
                    <w:sz w:val="28"/>
                    <w:lang w:val="zh-CN"/>
                  </w:rPr>
                  <w:t>7</w:t>
                </w:r>
                <w:r w:rsidR="00680EFA">
                  <w:rPr>
                    <w:rFonts w:ascii="宋体" w:hAnsi="宋体"/>
                    <w:sz w:val="28"/>
                    <w:lang w:val="zh-CN"/>
                  </w:rPr>
                  <w:fldChar w:fldCharType="end"/>
                </w:r>
                <w:r>
                  <w:rPr>
                    <w:rFonts w:ascii="宋体" w:hAnsi="宋体"/>
                    <w:sz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765A" w:rsidRDefault="0055765A" w:rsidP="00680EFA">
      <w:r>
        <w:separator/>
      </w:r>
    </w:p>
  </w:footnote>
  <w:footnote w:type="continuationSeparator" w:id="0">
    <w:p w:rsidR="0055765A" w:rsidRDefault="0055765A" w:rsidP="00680E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0EFA" w:rsidRDefault="00680EFA">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0EFA" w:rsidRDefault="00680EFA">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ttachedTemplate r:id="rId1"/>
  <w:defaultTabStop w:val="420"/>
  <w:evenAndOddHeaders/>
  <w:drawingGridHorizontalSpacing w:val="105"/>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
  <w:rsids>
    <w:rsidRoot w:val="00B54D13"/>
    <w:rsid w:val="000045C8"/>
    <w:rsid w:val="000104CD"/>
    <w:rsid w:val="0001299C"/>
    <w:rsid w:val="000415DA"/>
    <w:rsid w:val="00055D14"/>
    <w:rsid w:val="00057ECA"/>
    <w:rsid w:val="000600E9"/>
    <w:rsid w:val="00076E81"/>
    <w:rsid w:val="000A0CF5"/>
    <w:rsid w:val="000C1525"/>
    <w:rsid w:val="000C6FBE"/>
    <w:rsid w:val="000F2F86"/>
    <w:rsid w:val="00120780"/>
    <w:rsid w:val="00121E88"/>
    <w:rsid w:val="00131202"/>
    <w:rsid w:val="001429A3"/>
    <w:rsid w:val="00167F71"/>
    <w:rsid w:val="001B7CCF"/>
    <w:rsid w:val="001C2B0E"/>
    <w:rsid w:val="0020426D"/>
    <w:rsid w:val="00220100"/>
    <w:rsid w:val="0025370A"/>
    <w:rsid w:val="0026396F"/>
    <w:rsid w:val="002E71D6"/>
    <w:rsid w:val="002F58E2"/>
    <w:rsid w:val="00314214"/>
    <w:rsid w:val="00322656"/>
    <w:rsid w:val="003604EE"/>
    <w:rsid w:val="00370978"/>
    <w:rsid w:val="0039326B"/>
    <w:rsid w:val="003A1BEE"/>
    <w:rsid w:val="003D4421"/>
    <w:rsid w:val="003D5B98"/>
    <w:rsid w:val="003F065A"/>
    <w:rsid w:val="0043445F"/>
    <w:rsid w:val="004449B5"/>
    <w:rsid w:val="00445240"/>
    <w:rsid w:val="00490F06"/>
    <w:rsid w:val="004964AD"/>
    <w:rsid w:val="004A44CA"/>
    <w:rsid w:val="004B5B44"/>
    <w:rsid w:val="004D6A37"/>
    <w:rsid w:val="005223F9"/>
    <w:rsid w:val="00523C4A"/>
    <w:rsid w:val="00540FDB"/>
    <w:rsid w:val="0055765A"/>
    <w:rsid w:val="005A5452"/>
    <w:rsid w:val="00621F37"/>
    <w:rsid w:val="0067382F"/>
    <w:rsid w:val="00680EFA"/>
    <w:rsid w:val="006819D4"/>
    <w:rsid w:val="006B6D5C"/>
    <w:rsid w:val="006C5566"/>
    <w:rsid w:val="006D1BC8"/>
    <w:rsid w:val="006E0CB3"/>
    <w:rsid w:val="006F2D12"/>
    <w:rsid w:val="006F59DC"/>
    <w:rsid w:val="006F668C"/>
    <w:rsid w:val="00727179"/>
    <w:rsid w:val="007273E1"/>
    <w:rsid w:val="00735610"/>
    <w:rsid w:val="007420FD"/>
    <w:rsid w:val="0078216B"/>
    <w:rsid w:val="007B48C1"/>
    <w:rsid w:val="007B71C3"/>
    <w:rsid w:val="007B7A15"/>
    <w:rsid w:val="007C14D1"/>
    <w:rsid w:val="007E5E49"/>
    <w:rsid w:val="007F67C1"/>
    <w:rsid w:val="00851334"/>
    <w:rsid w:val="0086511A"/>
    <w:rsid w:val="008D22C7"/>
    <w:rsid w:val="00902B56"/>
    <w:rsid w:val="00973A21"/>
    <w:rsid w:val="009B541C"/>
    <w:rsid w:val="009C3E29"/>
    <w:rsid w:val="00A31022"/>
    <w:rsid w:val="00A3689B"/>
    <w:rsid w:val="00A41A88"/>
    <w:rsid w:val="00A616E6"/>
    <w:rsid w:val="00A9075D"/>
    <w:rsid w:val="00AA6FE9"/>
    <w:rsid w:val="00AC4AA4"/>
    <w:rsid w:val="00AD7F60"/>
    <w:rsid w:val="00B05108"/>
    <w:rsid w:val="00B164CE"/>
    <w:rsid w:val="00B36C50"/>
    <w:rsid w:val="00B54D13"/>
    <w:rsid w:val="00BA35B4"/>
    <w:rsid w:val="00BD4B12"/>
    <w:rsid w:val="00C35850"/>
    <w:rsid w:val="00C4459A"/>
    <w:rsid w:val="00C47D2C"/>
    <w:rsid w:val="00C65756"/>
    <w:rsid w:val="00C663D5"/>
    <w:rsid w:val="00C837C9"/>
    <w:rsid w:val="00C9058F"/>
    <w:rsid w:val="00CC412B"/>
    <w:rsid w:val="00D004BC"/>
    <w:rsid w:val="00D00758"/>
    <w:rsid w:val="00D06966"/>
    <w:rsid w:val="00D2221A"/>
    <w:rsid w:val="00D45966"/>
    <w:rsid w:val="00D50542"/>
    <w:rsid w:val="00DC5879"/>
    <w:rsid w:val="00DC7A44"/>
    <w:rsid w:val="00DD1A97"/>
    <w:rsid w:val="00DD1BEE"/>
    <w:rsid w:val="00DE0A2B"/>
    <w:rsid w:val="00E07AB4"/>
    <w:rsid w:val="00E21678"/>
    <w:rsid w:val="00E532CB"/>
    <w:rsid w:val="00EA6F3C"/>
    <w:rsid w:val="00EA72E2"/>
    <w:rsid w:val="00ED6686"/>
    <w:rsid w:val="00EE5498"/>
    <w:rsid w:val="00EF210A"/>
    <w:rsid w:val="00F0227E"/>
    <w:rsid w:val="00F11340"/>
    <w:rsid w:val="00F2581E"/>
    <w:rsid w:val="023E1BBB"/>
    <w:rsid w:val="05F9301F"/>
    <w:rsid w:val="0C1E506F"/>
    <w:rsid w:val="0D946260"/>
    <w:rsid w:val="4CA566E2"/>
    <w:rsid w:val="50431CEF"/>
    <w:rsid w:val="559D5969"/>
    <w:rsid w:val="6C5F07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iPriority="9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semiHidden="0"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semiHidden="0" w:uiPriority="99"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0EFA"/>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unhideWhenUsed/>
    <w:qFormat/>
    <w:rsid w:val="00680EFA"/>
    <w:rPr>
      <w:sz w:val="18"/>
      <w:szCs w:val="18"/>
    </w:rPr>
  </w:style>
  <w:style w:type="paragraph" w:styleId="a4">
    <w:name w:val="footer"/>
    <w:uiPriority w:val="99"/>
    <w:unhideWhenUsed/>
    <w:qFormat/>
    <w:rsid w:val="00680EFA"/>
    <w:pPr>
      <w:widowControl w:val="0"/>
      <w:tabs>
        <w:tab w:val="center" w:pos="4153"/>
        <w:tab w:val="right" w:pos="8306"/>
      </w:tabs>
      <w:snapToGrid w:val="0"/>
    </w:pPr>
    <w:rPr>
      <w:rFonts w:ascii="Calibri" w:hAnsi="Calibri"/>
      <w:kern w:val="2"/>
      <w:sz w:val="18"/>
      <w:szCs w:val="18"/>
    </w:rPr>
  </w:style>
  <w:style w:type="paragraph" w:styleId="a5">
    <w:name w:val="header"/>
    <w:basedOn w:val="a"/>
    <w:link w:val="Char0"/>
    <w:qFormat/>
    <w:rsid w:val="00680EFA"/>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680EFA"/>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sid w:val="00680EFA"/>
    <w:rPr>
      <w:b/>
      <w:bCs/>
    </w:rPr>
  </w:style>
  <w:style w:type="character" w:customStyle="1" w:styleId="Char0">
    <w:name w:val="页眉 Char"/>
    <w:basedOn w:val="a0"/>
    <w:link w:val="a5"/>
    <w:qFormat/>
    <w:rsid w:val="00680EFA"/>
    <w:rPr>
      <w:rFonts w:ascii="Calibri" w:eastAsia="宋体" w:hAnsi="Calibri"/>
      <w:kern w:val="2"/>
      <w:sz w:val="18"/>
      <w:szCs w:val="18"/>
    </w:rPr>
  </w:style>
  <w:style w:type="paragraph" w:customStyle="1" w:styleId="contentfont">
    <w:name w:val="contentfont"/>
    <w:basedOn w:val="a"/>
    <w:qFormat/>
    <w:rsid w:val="00680EFA"/>
    <w:pPr>
      <w:widowControl/>
      <w:spacing w:before="100" w:beforeAutospacing="1" w:after="100" w:afterAutospacing="1"/>
      <w:jc w:val="left"/>
    </w:pPr>
    <w:rPr>
      <w:rFonts w:ascii="宋体" w:hAnsi="宋体" w:cs="宋体"/>
      <w:kern w:val="0"/>
      <w:sz w:val="24"/>
      <w:szCs w:val="24"/>
    </w:rPr>
  </w:style>
  <w:style w:type="paragraph" w:customStyle="1" w:styleId="a8">
    <w:name w:val="段"/>
    <w:qFormat/>
    <w:rsid w:val="00680EFA"/>
    <w:pPr>
      <w:tabs>
        <w:tab w:val="center" w:pos="4201"/>
        <w:tab w:val="right" w:leader="dot" w:pos="9298"/>
      </w:tabs>
      <w:autoSpaceDE w:val="0"/>
      <w:autoSpaceDN w:val="0"/>
      <w:ind w:firstLineChars="200" w:firstLine="420"/>
      <w:jc w:val="both"/>
    </w:pPr>
    <w:rPr>
      <w:rFonts w:ascii="宋体"/>
      <w:sz w:val="21"/>
    </w:rPr>
  </w:style>
  <w:style w:type="character" w:customStyle="1" w:styleId="Char">
    <w:name w:val="批注框文本 Char"/>
    <w:basedOn w:val="a0"/>
    <w:link w:val="a3"/>
    <w:semiHidden/>
    <w:qFormat/>
    <w:rsid w:val="00680EFA"/>
    <w:rPr>
      <w:rFonts w:ascii="Calibri" w:eastAsia="宋体"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TotalTime>1</TotalTime>
  <Pages>7</Pages>
  <Words>447</Words>
  <Characters>2552</Characters>
  <Application>Microsoft Office Word</Application>
  <DocSecurity>0</DocSecurity>
  <Lines>21</Lines>
  <Paragraphs>5</Paragraphs>
  <ScaleCrop>false</ScaleCrop>
  <Company>Microsoft</Company>
  <LinksUpToDate>false</LinksUpToDate>
  <CharactersWithSpaces>2994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监管办文秘:处文秘</cp:lastModifiedBy>
  <cp:revision>2</cp:revision>
  <cp:lastPrinted>2025-10-10T07:53:00Z</cp:lastPrinted>
  <dcterms:created xsi:type="dcterms:W3CDTF">2025-10-28T10:54:00Z</dcterms:created>
  <dcterms:modified xsi:type="dcterms:W3CDTF">2025-10-28T10:54:00Z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70310E47E47D400885F727DF2FD81E0C_13</vt:lpwstr>
  </property>
  <property fmtid="{D5CDD505-2E9C-101B-9397-08002B2CF9AE}" pid="3" name="KSOProductBuildVer">
    <vt:lpwstr>2052-12.1.0.23125</vt:lpwstr>
  </property>
  <property fmtid="{D5CDD505-2E9C-101B-9397-08002B2CF9AE}" pid="4" name="KSOTemplateDocerSaveRecord">
    <vt:lpwstr>eyJoZGlkIjoiOWQ1MWU0MTk0MmNhNGVmOTdlMWY5OWMwNDU1MGI5YTkiLCJ1c2VySWQiOiI0MjY2NzYwNDYifQ==</vt:lpwstr>
  </property>
</Properties>
</file>