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snapToGrid w:val="0"/>
        <w:spacing w:line="600" w:lineRule="exact"/>
        <w:ind w:right="1280" w:rightChars="400"/>
        <w:jc w:val="both"/>
        <w:rPr>
          <w:rFonts w:ascii="黑体" w:eastAsia="黑体" w:hAnsi="黑体" w:cs="黑体" w:hint="eastAsia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附件1</w:t>
      </w:r>
    </w:p>
    <w:p>
      <w:pPr>
        <w:snapToGrid w:val="0"/>
        <w:spacing w:line="600" w:lineRule="exact"/>
        <w:ind w:right="195" w:rightChars="61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铜川市气象局随机抽查事项清单</w:t>
      </w:r>
    </w:p>
    <w:tbl>
      <w:tblPr>
        <w:tblStyle w:val="TableNormal"/>
        <w:tblW w:w="13659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1050"/>
        <w:gridCol w:w="1125"/>
        <w:gridCol w:w="1275"/>
        <w:gridCol w:w="1110"/>
        <w:gridCol w:w="1215"/>
        <w:gridCol w:w="1245"/>
        <w:gridCol w:w="4620"/>
        <w:gridCol w:w="1365"/>
      </w:tblGrid>
      <w:tr>
        <w:tblPrEx>
          <w:tblW w:w="13659" w:type="dxa"/>
          <w:tblInd w:w="1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/>
        </w:trPr>
        <w:tc>
          <w:tcPr>
            <w:tcW w:w="654" w:type="dxa"/>
            <w:vMerge w:val="restart"/>
            <w:tcBorders>
              <w:top w:val="single" w:sz="4" w:space="0" w:color="auto"/>
            </w:tcBorders>
            <w:noWrap w:val="0"/>
            <w:vAlign w:val="center"/>
          </w:tcPr>
          <w:p>
            <w:pPr>
              <w:pStyle w:val="TableParagraph"/>
              <w:spacing w:before="20" w:line="260" w:lineRule="exact"/>
              <w:ind w:right="0" w:rightChars="0"/>
              <w:jc w:val="center"/>
              <w:rPr>
                <w:rFonts w:ascii="黑体" w:eastAsia="黑体" w:cs="仿宋" w:hint="default"/>
                <w:sz w:val="22"/>
                <w:szCs w:val="22"/>
                <w:lang w:val="en-US" w:eastAsia="zh-CN" w:bidi="zh-CN"/>
              </w:rPr>
            </w:pPr>
            <w:r>
              <w:rPr>
                <w:rFonts w:ascii="黑体" w:eastAsia="黑体" w:cs="仿宋" w:hint="eastAsia"/>
                <w:sz w:val="22"/>
                <w:szCs w:val="22"/>
                <w:lang w:val="en-US" w:eastAsia="zh-CN" w:bidi="zh-CN"/>
              </w:rPr>
              <w:t>序号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pStyle w:val="TableParagraph"/>
              <w:spacing w:before="20" w:line="260" w:lineRule="exact"/>
              <w:ind w:right="0" w:rightChars="0"/>
              <w:jc w:val="center"/>
              <w:rPr>
                <w:rFonts w:ascii="黑体" w:eastAsia="黑体" w:hAnsi="仿宋" w:cs="仿宋" w:hint="eastAsia"/>
                <w:sz w:val="22"/>
                <w:szCs w:val="22"/>
                <w:lang w:val="zh-CN" w:eastAsia="zh-CN" w:bidi="zh-CN"/>
              </w:rPr>
            </w:pPr>
            <w:r>
              <w:rPr>
                <w:rFonts w:ascii="黑体" w:eastAsia="黑体" w:cs="仿宋" w:hint="eastAsia"/>
                <w:sz w:val="22"/>
                <w:szCs w:val="22"/>
                <w:lang w:val="zh-CN" w:eastAsia="zh-CN" w:bidi="zh-CN"/>
              </w:rPr>
              <w:t>抽查项目</w:t>
            </w: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pStyle w:val="TableParagraph"/>
              <w:spacing w:before="173"/>
              <w:ind w:left="0" w:right="0" w:leftChars="0" w:rightChars="0"/>
              <w:jc w:val="center"/>
              <w:rPr>
                <w:rFonts w:ascii="黑体" w:eastAsia="黑体" w:hAnsi="黑体" w:cs="黑体" w:hint="eastAsia"/>
                <w:sz w:val="22"/>
                <w:szCs w:val="22"/>
                <w:lang w:val="zh-CN" w:eastAsia="zh-CN" w:bidi="zh-CN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检查对象</w:t>
            </w:r>
          </w:p>
        </w:tc>
        <w:tc>
          <w:tcPr>
            <w:tcW w:w="1110" w:type="dxa"/>
            <w:vMerge w:val="restart"/>
            <w:noWrap w:val="0"/>
            <w:vAlign w:val="center"/>
          </w:tcPr>
          <w:p>
            <w:pPr>
              <w:pStyle w:val="TableParagraph"/>
              <w:spacing w:before="6" w:line="300" w:lineRule="atLeast"/>
              <w:ind w:left="246" w:right="236" w:leftChars="0" w:rightChars="0"/>
              <w:jc w:val="center"/>
              <w:rPr>
                <w:rFonts w:ascii="黑体" w:eastAsia="黑体" w:hAnsi="黑体" w:cs="黑体" w:hint="eastAsia"/>
                <w:sz w:val="22"/>
                <w:szCs w:val="22"/>
                <w:lang w:val="zh-CN" w:eastAsia="zh-CN" w:bidi="zh-CN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事项类别</w:t>
            </w:r>
          </w:p>
        </w:tc>
        <w:tc>
          <w:tcPr>
            <w:tcW w:w="1215" w:type="dxa"/>
            <w:vMerge w:val="restart"/>
            <w:noWrap w:val="0"/>
            <w:vAlign w:val="center"/>
          </w:tcPr>
          <w:p>
            <w:pPr>
              <w:pStyle w:val="TableParagraph"/>
              <w:spacing w:before="173"/>
              <w:ind w:right="0" w:rightChars="0"/>
              <w:jc w:val="center"/>
              <w:rPr>
                <w:rFonts w:ascii="黑体" w:eastAsia="黑体" w:hAnsi="黑体" w:cs="黑体" w:hint="eastAsia"/>
                <w:sz w:val="22"/>
                <w:szCs w:val="22"/>
                <w:lang w:val="zh-CN" w:eastAsia="zh-CN" w:bidi="zh-CN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检查方式</w:t>
            </w:r>
          </w:p>
        </w:tc>
        <w:tc>
          <w:tcPr>
            <w:tcW w:w="1245" w:type="dxa"/>
            <w:vMerge w:val="restart"/>
            <w:noWrap w:val="0"/>
            <w:vAlign w:val="center"/>
          </w:tcPr>
          <w:p>
            <w:pPr>
              <w:pStyle w:val="TableParagraph"/>
              <w:spacing w:before="173"/>
              <w:ind w:left="143" w:right="0" w:leftChars="0" w:rightChars="0"/>
              <w:jc w:val="center"/>
              <w:rPr>
                <w:rFonts w:ascii="黑体" w:eastAsia="黑体" w:hAnsi="黑体" w:cs="黑体" w:hint="eastAsia"/>
                <w:sz w:val="22"/>
                <w:szCs w:val="22"/>
                <w:lang w:val="zh-CN" w:eastAsia="zh-CN" w:bidi="zh-CN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检查主体</w:t>
            </w:r>
          </w:p>
        </w:tc>
        <w:tc>
          <w:tcPr>
            <w:tcW w:w="4620" w:type="dxa"/>
            <w:vMerge w:val="restart"/>
            <w:noWrap w:val="0"/>
            <w:vAlign w:val="center"/>
          </w:tcPr>
          <w:p>
            <w:pPr>
              <w:pStyle w:val="TableParagraph"/>
              <w:spacing w:before="173"/>
              <w:ind w:right="130" w:rightChars="0"/>
              <w:jc w:val="center"/>
              <w:rPr>
                <w:rFonts w:ascii="黑体" w:eastAsia="黑体" w:hAnsi="黑体" w:cs="黑体" w:hint="eastAsia"/>
                <w:sz w:val="22"/>
                <w:szCs w:val="22"/>
                <w:lang w:val="zh-CN" w:eastAsia="zh-CN" w:bidi="zh-CN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检查依据</w:t>
            </w:r>
          </w:p>
        </w:tc>
        <w:tc>
          <w:tcPr>
            <w:tcW w:w="1365" w:type="dxa"/>
            <w:vMerge w:val="restart"/>
            <w:tcBorders>
              <w:right w:val="single" w:sz="4" w:space="0" w:color="auto"/>
            </w:tcBorders>
            <w:noWrap w:val="0"/>
            <w:vAlign w:val="center"/>
          </w:tcPr>
          <w:p>
            <w:pPr>
              <w:pStyle w:val="TableParagraph"/>
              <w:spacing w:before="173"/>
              <w:ind w:right="0" w:rightChars="0"/>
              <w:jc w:val="center"/>
              <w:rPr>
                <w:rFonts w:ascii="黑体" w:eastAsia="黑体" w:hAnsi="黑体" w:cs="黑体" w:hint="eastAsia"/>
                <w:sz w:val="22"/>
                <w:szCs w:val="22"/>
                <w:lang w:val="zh-CN" w:eastAsia="zh-CN" w:bidi="zh-CN"/>
              </w:rPr>
            </w:pPr>
            <w:r>
              <w:rPr>
                <w:rFonts w:ascii="黑体" w:eastAsia="黑体" w:hAnsi="黑体" w:cs="黑体" w:hint="eastAsia"/>
                <w:sz w:val="22"/>
              </w:rPr>
              <w:t>制定部门</w:t>
            </w:r>
          </w:p>
        </w:tc>
      </w:tr>
      <w:tr>
        <w:tblPrEx>
          <w:tblW w:w="13659" w:type="dxa"/>
          <w:tblInd w:w="1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/>
        </w:trPr>
        <w:tc>
          <w:tcPr>
            <w:tcW w:w="654" w:type="dxa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pStyle w:val="TableParagraph"/>
              <w:spacing w:before="20" w:line="260" w:lineRule="exact"/>
              <w:ind w:left="110" w:right="0" w:leftChars="0" w:rightChars="0"/>
              <w:jc w:val="center"/>
              <w:rPr>
                <w:rFonts w:ascii="黑体" w:eastAsia="黑体" w:hint="eastAsia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pStyle w:val="TableParagraph"/>
              <w:spacing w:before="20" w:line="260" w:lineRule="exact"/>
              <w:ind w:left="110" w:right="0" w:leftChars="0" w:rightChars="0"/>
              <w:jc w:val="center"/>
              <w:rPr>
                <w:rFonts w:ascii="黑体" w:eastAsia="黑体" w:hAnsi="仿宋" w:cs="仿宋" w:hint="eastAsia"/>
                <w:sz w:val="22"/>
                <w:szCs w:val="22"/>
                <w:lang w:val="zh-CN" w:eastAsia="zh-CN" w:bidi="zh-CN"/>
              </w:rPr>
            </w:pPr>
            <w:r>
              <w:rPr>
                <w:rFonts w:ascii="黑体" w:eastAsia="黑体" w:hint="eastAsia"/>
                <w:sz w:val="22"/>
              </w:rPr>
              <w:t>抽查类别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pStyle w:val="TableParagraph"/>
              <w:spacing w:before="20" w:line="260" w:lineRule="exact"/>
              <w:ind w:right="0" w:rightChars="0"/>
              <w:jc w:val="center"/>
              <w:rPr>
                <w:rFonts w:ascii="黑体" w:eastAsia="黑体" w:hAnsi="仿宋" w:cs="仿宋" w:hint="eastAsia"/>
                <w:sz w:val="22"/>
                <w:szCs w:val="22"/>
                <w:lang w:val="zh-CN" w:eastAsia="zh-CN" w:bidi="zh-CN"/>
              </w:rPr>
            </w:pPr>
            <w:r>
              <w:rPr>
                <w:rFonts w:ascii="黑体" w:eastAsia="黑体" w:hint="eastAsia"/>
                <w:sz w:val="22"/>
              </w:rPr>
              <w:t>抽查事项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noWrap w:val="0"/>
            <w:vAlign w:val="top"/>
          </w:tcPr>
          <w:p>
            <w:pPr>
              <w:pStyle w:val="TableParagraph"/>
              <w:spacing w:before="6" w:line="300" w:lineRule="atLeast"/>
              <w:ind w:left="246" w:right="236" w:leftChars="0" w:rightChars="0"/>
              <w:jc w:val="center"/>
              <w:rPr>
                <w:rFonts w:ascii="黑体" w:eastAsia="黑体" w:hAnsi="黑体" w:cs="黑体" w:hint="eastAsia"/>
                <w:sz w:val="22"/>
              </w:rPr>
            </w:pPr>
          </w:p>
        </w:tc>
        <w:tc>
          <w:tcPr>
            <w:tcW w:w="1110" w:type="dxa"/>
            <w:vMerge/>
            <w:tcBorders>
              <w:bottom w:val="single" w:sz="4" w:space="0" w:color="auto"/>
            </w:tcBorders>
            <w:noWrap w:val="0"/>
            <w:vAlign w:val="top"/>
          </w:tcPr>
          <w:p>
            <w:pPr>
              <w:pStyle w:val="TableParagraph"/>
              <w:spacing w:before="173"/>
              <w:ind w:left="318" w:right="0" w:leftChars="0" w:rightChars="0"/>
              <w:jc w:val="left"/>
              <w:rPr>
                <w:rFonts w:ascii="黑体" w:eastAsia="黑体" w:hAnsi="黑体" w:cs="黑体" w:hint="eastAsia"/>
                <w:sz w:val="22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  <w:noWrap w:val="0"/>
            <w:vAlign w:val="top"/>
          </w:tcPr>
          <w:p>
            <w:pPr>
              <w:pStyle w:val="TableParagraph"/>
              <w:spacing w:before="173"/>
              <w:ind w:left="143" w:right="0" w:leftChars="0" w:rightChars="0"/>
              <w:jc w:val="center"/>
              <w:rPr>
                <w:rFonts w:ascii="黑体" w:eastAsia="黑体" w:hAnsi="黑体" w:cs="黑体" w:hint="eastAsia"/>
                <w:sz w:val="22"/>
              </w:rPr>
            </w:pPr>
          </w:p>
        </w:tc>
        <w:tc>
          <w:tcPr>
            <w:tcW w:w="1245" w:type="dxa"/>
            <w:vMerge/>
            <w:tcBorders>
              <w:bottom w:val="single" w:sz="4" w:space="0" w:color="auto"/>
            </w:tcBorders>
            <w:noWrap w:val="0"/>
            <w:vAlign w:val="top"/>
          </w:tcPr>
          <w:p>
            <w:pPr>
              <w:pStyle w:val="TableParagraph"/>
              <w:spacing w:before="173"/>
              <w:ind w:left="1937" w:right="1926" w:leftChars="0" w:rightChars="0"/>
              <w:jc w:val="center"/>
              <w:rPr>
                <w:rFonts w:ascii="黑体" w:eastAsia="黑体" w:hAnsi="黑体" w:cs="黑体" w:hint="eastAsia"/>
                <w:sz w:val="22"/>
              </w:rPr>
            </w:pPr>
          </w:p>
        </w:tc>
        <w:tc>
          <w:tcPr>
            <w:tcW w:w="4620" w:type="dxa"/>
            <w:vMerge/>
            <w:tcBorders>
              <w:bottom w:val="single" w:sz="4" w:space="0" w:color="auto"/>
            </w:tcBorders>
            <w:noWrap w:val="0"/>
            <w:vAlign w:val="top"/>
          </w:tcPr>
          <w:p>
            <w:pPr>
              <w:pStyle w:val="TableParagraph"/>
              <w:spacing w:before="173"/>
              <w:ind w:left="160" w:right="0" w:leftChars="0" w:rightChars="0"/>
              <w:jc w:val="center"/>
              <w:rPr>
                <w:rFonts w:ascii="黑体" w:eastAsia="黑体" w:hAnsi="黑体" w:cs="黑体" w:hint="eastAsia"/>
                <w:sz w:val="22"/>
              </w:rPr>
            </w:pPr>
          </w:p>
        </w:tc>
        <w:tc>
          <w:tcPr>
            <w:tcW w:w="1365" w:type="dxa"/>
            <w:vMerge/>
            <w:tcBorders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pStyle w:val="TableParagraph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>
        <w:tblPrEx>
          <w:tblW w:w="13659" w:type="dxa"/>
          <w:tblInd w:w="1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6"/>
        </w:trPr>
        <w:tc>
          <w:tcPr>
            <w:tcW w:w="654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 w:leftChars="0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ascii="仿宋_GB2312" w:hAnsi="仿宋_GB2312" w:cs="仿宋_GB2312" w:hint="eastAsia"/>
                <w:spacing w:val="-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气象社会</w:t>
            </w:r>
          </w:p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 w:leftChars="0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2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管理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 w:leftChars="0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2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对防雷检测企事业单位的检查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 w:leftChars="0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2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防雷检测单位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 w:leftChars="0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2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一般检查事项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 w:leftChars="0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2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实地核查、书面检查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 w:leftChars="0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2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  <w:lang w:val="en-US" w:eastAsia="zh-CN"/>
              </w:rPr>
              <w:t>县级以上气象主管机构</w:t>
            </w:r>
          </w:p>
        </w:tc>
        <w:tc>
          <w:tcPr>
            <w:tcW w:w="4620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/>
              <w:jc w:val="both"/>
              <w:textAlignment w:val="auto"/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《中华人民共和国气象法》第三十一条；</w:t>
            </w:r>
          </w:p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/>
              <w:jc w:val="both"/>
              <w:textAlignment w:val="auto"/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《气象灾害防御条例》第二十四条、第四十五条；</w:t>
            </w:r>
          </w:p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/>
              <w:jc w:val="both"/>
              <w:textAlignment w:val="auto"/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《防雷减灾管理办法（修订）》第二十一条；</w:t>
            </w:r>
          </w:p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400" w:lineRule="exact"/>
              <w:ind w:left="107" w:leftChars="0"/>
              <w:jc w:val="both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2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《雷电防护装置检测资质管理办法</w:t>
            </w: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  <w:lang w:eastAsia="zh-CN"/>
              </w:rPr>
              <w:t>（修订）</w:t>
            </w: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》第二十</w:t>
            </w: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  <w:lang w:eastAsia="zh-CN"/>
              </w:rPr>
              <w:t>七</w:t>
            </w:r>
            <w:r>
              <w:rPr>
                <w:rFonts w:ascii="仿宋_GB2312" w:eastAsia="仿宋_GB2312" w:hAnsi="仿宋_GB2312" w:cs="仿宋_GB2312" w:hint="eastAsia"/>
                <w:spacing w:val="-2"/>
                <w:sz w:val="20"/>
                <w:szCs w:val="20"/>
              </w:rPr>
              <w:t>条 、第三十五条、第三十六条。</w:t>
            </w:r>
          </w:p>
        </w:tc>
        <w:tc>
          <w:tcPr>
            <w:tcW w:w="1365" w:type="dxa"/>
            <w:tcBorders>
              <w:top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08" w:leftChars="0"/>
              <w:jc w:val="center"/>
              <w:textAlignment w:val="auto"/>
              <w:rPr>
                <w:rFonts w:ascii="仿宋_GB2312" w:eastAsia="仿宋_GB2312" w:hAnsi="仿宋_GB2312" w:cs="仿宋_GB2312" w:hint="eastAsia"/>
                <w:kern w:val="2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  <w:lang w:eastAsia="zh-CN"/>
              </w:rPr>
              <w:t>市</w:t>
            </w: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气象局</w:t>
            </w:r>
          </w:p>
        </w:tc>
      </w:tr>
      <w:tr>
        <w:tblPrEx>
          <w:tblW w:w="13659" w:type="dxa"/>
          <w:tblInd w:w="1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4"/>
        </w:trPr>
        <w:tc>
          <w:tcPr>
            <w:tcW w:w="654" w:type="dxa"/>
            <w:tcBorders>
              <w:top w:val="nil"/>
            </w:tcBorders>
            <w:noWrap w:val="0"/>
            <w:vAlign w:val="center"/>
          </w:tcPr>
          <w:p>
            <w:pPr>
              <w:pStyle w:val="NormalWeb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ascii="仿宋_GB2312" w:eastAsia="仿宋_GB2312" w:hAnsi="仿宋_GB2312" w:cs="仿宋_GB2312" w:hint="default"/>
                <w:spacing w:val="-2"/>
                <w:kern w:val="0"/>
                <w:sz w:val="20"/>
                <w:szCs w:val="20"/>
                <w:lang w:val="en-US" w:eastAsia="zh-CN" w:bidi="zh-CN"/>
              </w:rPr>
            </w:pP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en-US" w:eastAsia="zh-CN" w:bidi="zh-CN"/>
              </w:rPr>
              <w:t>2</w:t>
            </w:r>
          </w:p>
        </w:tc>
        <w:tc>
          <w:tcPr>
            <w:tcW w:w="1050" w:type="dxa"/>
            <w:tcBorders>
              <w:top w:val="nil"/>
            </w:tcBorders>
            <w:noWrap w:val="0"/>
            <w:vAlign w:val="center"/>
          </w:tcPr>
          <w:p>
            <w:pPr>
              <w:pStyle w:val="NormalWeb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对防雷减灾工作的监督检查</w:t>
            </w:r>
          </w:p>
        </w:tc>
        <w:tc>
          <w:tcPr>
            <w:tcW w:w="1125" w:type="dxa"/>
            <w:tcBorders>
              <w:top w:val="nil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对雷电灾害防御工作的检查</w:t>
            </w:r>
          </w:p>
        </w:tc>
        <w:tc>
          <w:tcPr>
            <w:tcW w:w="1275" w:type="dxa"/>
            <w:tcBorders>
              <w:top w:val="nil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防雷安全重点单位</w:t>
            </w:r>
          </w:p>
        </w:tc>
        <w:tc>
          <w:tcPr>
            <w:tcW w:w="1110" w:type="dxa"/>
            <w:tcBorders>
              <w:top w:val="nil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重点检查</w:t>
            </w:r>
          </w:p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事项</w:t>
            </w:r>
          </w:p>
        </w:tc>
        <w:tc>
          <w:tcPr>
            <w:tcW w:w="1215" w:type="dxa"/>
            <w:tcBorders>
              <w:top w:val="nil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实地核查、书面检查</w:t>
            </w:r>
          </w:p>
        </w:tc>
        <w:tc>
          <w:tcPr>
            <w:tcW w:w="1245" w:type="dxa"/>
            <w:tcBorders>
              <w:top w:val="nil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400" w:lineRule="exact"/>
              <w:ind w:left="107" w:leftChars="0"/>
              <w:jc w:val="center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en-US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en-US" w:eastAsia="zh-CN" w:bidi="zh-CN"/>
              </w:rPr>
              <w:t>县级以上气象主管机构</w:t>
            </w:r>
          </w:p>
        </w:tc>
        <w:tc>
          <w:tcPr>
            <w:tcW w:w="4620" w:type="dxa"/>
            <w:tcBorders>
              <w:top w:val="nil"/>
              <w:bottom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《中华人民共和国气象法》第三十一条、第三十七条；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《气象灾害防御条例》第二十三条；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《防雷减灾管理办法（修订）》</w:t>
            </w: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（</w:t>
            </w: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en-US" w:eastAsia="zh-CN" w:bidi="zh-CN"/>
              </w:rPr>
              <w:t>中国气象局令第24号</w:t>
            </w: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）</w:t>
            </w:r>
            <w:r>
              <w:rPr>
                <w:rFonts w:ascii="仿宋_GB2312" w:eastAsia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第四条、第二十三条、第三十五条。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eastAsia="仿宋_GB2312" w:hAnsi="仿宋_GB2312" w:cs="仿宋_GB2312" w:hint="default"/>
                <w:spacing w:val="-2"/>
                <w:kern w:val="0"/>
                <w:sz w:val="20"/>
                <w:szCs w:val="20"/>
                <w:lang w:val="en-US" w:eastAsia="zh-CN" w:bidi="zh-CN"/>
              </w:rPr>
            </w:pP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《</w:t>
            </w: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en-US" w:eastAsia="zh-CN" w:bidi="zh-CN"/>
              </w:rPr>
              <w:t>雷电防护装置设计审核和竣工验收规定</w:t>
            </w: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》（</w:t>
            </w: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en-US" w:eastAsia="zh-CN" w:bidi="zh-CN"/>
              </w:rPr>
              <w:t>中国气象局令第37号</w:t>
            </w: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zh-CN" w:eastAsia="zh-CN" w:bidi="zh-CN"/>
              </w:rPr>
              <w:t>）</w:t>
            </w:r>
            <w:r>
              <w:rPr>
                <w:rFonts w:ascii="仿宋_GB2312" w:hAnsi="仿宋_GB2312" w:cs="仿宋_GB2312" w:hint="eastAsia"/>
                <w:spacing w:val="-2"/>
                <w:kern w:val="0"/>
                <w:sz w:val="20"/>
                <w:szCs w:val="20"/>
                <w:lang w:val="en-US" w:eastAsia="zh-CN" w:bidi="zh-CN"/>
              </w:rPr>
              <w:t>第十八条、第二十六条</w:t>
            </w:r>
          </w:p>
        </w:tc>
        <w:tc>
          <w:tcPr>
            <w:tcW w:w="1365" w:type="dxa"/>
            <w:tcBorders>
              <w:top w:val="nil"/>
              <w:bottom w:val="single" w:sz="4" w:space="0" w:color="auto"/>
            </w:tcBorders>
            <w:noWrap w:val="0"/>
            <w:vAlign w:val="center"/>
          </w:tcPr>
          <w:p>
            <w:pPr>
              <w:pStyle w:val="TableParagraph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 w:hAnsi="仿宋_GB2312" w:cs="仿宋_GB2312" w:hint="eastAsia"/>
                <w:kern w:val="2"/>
                <w:sz w:val="20"/>
                <w:szCs w:val="20"/>
                <w:lang w:val="zh-CN" w:eastAsia="zh-CN" w:bidi="zh-CN"/>
              </w:rPr>
            </w:pPr>
            <w:bookmarkStart w:id="0" w:name="_GoBack"/>
            <w:r>
              <w:rPr>
                <w:rFonts w:ascii="仿宋_GB2312" w:eastAsia="仿宋_GB2312" w:hAnsi="仿宋_GB2312" w:cs="仿宋_GB2312" w:hint="eastAsia"/>
                <w:sz w:val="20"/>
                <w:szCs w:val="20"/>
                <w:lang w:eastAsia="zh-CN"/>
              </w:rPr>
              <w:t>市气象局</w:t>
            </w:r>
          </w:p>
          <w:bookmarkEnd w:id="0"/>
        </w:tc>
      </w:tr>
    </w:tbl>
    <w:p/>
    <w:sectPr>
      <w:pgSz w:w="16838" w:h="11906" w:orient="landscape"/>
      <w:pgMar w:top="1800" w:right="1440" w:bottom="1800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73194C"/>
    <w:rsid w:val="0773194C"/>
    <w:rsid w:val="57E94B2D"/>
    <w:rsid w:val="61975BEF"/>
  </w:rsids>
  <w:docVars>
    <w:docVar w:name="commondata" w:val="eyJoZGlkIjoiNDI1NGQ4MDY4NjMxYWVlMzc3ODM2NDE0MmU1ODUxY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ascii="Calibri" w:eastAsia="仿宋_GB2312" w:hAnsi="Calibri" w:cs="Times New Roman"/>
      <w:kern w:val="2"/>
      <w:sz w:val="32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TableParagraph">
    <w:name w:val="Table Paragraph"/>
    <w:basedOn w:val="Normal"/>
    <w:uiPriority w:val="1"/>
    <w:qFormat/>
    <w:rPr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张韫韬</cp:lastModifiedBy>
  <cp:revision>1</cp:revision>
  <dcterms:created xsi:type="dcterms:W3CDTF">2021-09-23T03:48:00Z</dcterms:created>
  <dcterms:modified xsi:type="dcterms:W3CDTF">2023-06-02T03:35:11Z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4C6245C8ED1846C899F09A8131F98ED3_13</vt:lpwstr>
  </property>
  <property fmtid="{D5CDD505-2E9C-101B-9397-08002B2CF9AE}" pid="3" name="KSOProductBuildVer">
    <vt:lpwstr>2052-11.1.0.14309</vt:lpwstr>
  </property>
</Properties>
</file>