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spacing w:line="560" w:lineRule="exact"/>
        <w:jc w:val="left"/>
        <w:rPr>
          <w:rFonts w:ascii="黑体" w:hAnsi="黑体" w:eastAsia="黑体" w:cs="宋体"/>
          <w:sz w:val="32"/>
          <w:szCs w:val="32"/>
        </w:rPr>
      </w:pPr>
      <w:bookmarkStart w:id="0" w:name="_Hlk108522618"/>
      <w:bookmarkEnd w:id="0"/>
      <w:r>
        <w:rPr>
          <w:rFonts w:hint="eastAsia" w:ascii="黑体" w:hAnsi="黑体" w:eastAsia="黑体" w:cs="宋体"/>
          <w:sz w:val="32"/>
          <w:szCs w:val="32"/>
        </w:rPr>
        <w:t>注册：SNJB0101</w:t>
      </w:r>
    </w:p>
    <w:p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hAnsi="Times New Roman" w:eastAsia="方正小标宋简体" w:cs="宋体"/>
          <w:bCs/>
          <w:color w:val="FF0000"/>
          <w:spacing w:val="100"/>
          <w:sz w:val="72"/>
          <w:szCs w:val="21"/>
        </w:rPr>
      </w:pPr>
    </w:p>
    <w:p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hAnsi="等线" w:eastAsia="方正小标宋简体" w:cs="宋体"/>
          <w:bCs/>
          <w:color w:val="FF0000"/>
          <w:spacing w:val="100"/>
          <w:sz w:val="72"/>
          <w:szCs w:val="21"/>
        </w:rPr>
      </w:pPr>
    </w:p>
    <w:p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hAnsi="等线" w:eastAsia="方正小标宋简体" w:cs="宋体"/>
          <w:bCs/>
          <w:color w:val="FF0000"/>
          <w:spacing w:val="100"/>
          <w:sz w:val="72"/>
          <w:szCs w:val="21"/>
        </w:rPr>
      </w:pPr>
    </w:p>
    <w:p>
      <w:pPr>
        <w:tabs>
          <w:tab w:val="left" w:pos="180"/>
          <w:tab w:val="left" w:pos="225"/>
          <w:tab w:val="center" w:pos="4422"/>
        </w:tabs>
        <w:jc w:val="center"/>
        <w:rPr>
          <w:rFonts w:ascii="方正小标宋简体" w:hAnsi="等线" w:eastAsia="方正小标宋简体" w:cs="宋体"/>
          <w:bCs/>
          <w:color w:val="FF0000"/>
          <w:spacing w:val="100"/>
          <w:sz w:val="72"/>
          <w:szCs w:val="21"/>
        </w:rPr>
      </w:pPr>
      <w:r>
        <w:rPr>
          <w:rFonts w:ascii="Times New Roman" w:hAnsi="等线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3" name="文本框 45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 w:cs="宋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文本框 45" o:spid="_x0000_s1026" o:spt="1" alt=" 签发人：×××" style="position:absolute;left:0pt;margin-left:-0.75pt;margin-top:110.25pt;height:28.8pt;width:118.5pt;mso-position-vertical-relative:page;z-index:-251655168;mso-width-relative:page;mso-height-relative:page;" filled="f" stroked="f" coordsize="21600,21600" o:gfxdata="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NiU0HaAAAACgEAAA8AAAAAAAAAAQAgAAAAIgAAAGRycy9kb3du&#10;cmV2LnhtbFBLAQIUABQAAAAIAIdO4kBcbTwZ/QEAAMYDAAAOAAAAAAAAAAEAIAAAACkBAABkcnMv&#10;ZTJvRG9jLnhtbFBLBQYAAAAABgAGAFkBAACY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left"/>
                        <w:rPr>
                          <w:rFonts w:ascii="黑体" w:hAnsi="微软雅黑" w:eastAsia="黑体" w:cs="宋体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等线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4" name="文本框 44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320" w:lineRule="exact"/>
                              <w:jc w:val="left"/>
                              <w:rPr>
                                <w:rFonts w:ascii="黑体" w:hAnsi="微软雅黑" w:eastAsia="黑体" w:cs="宋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>
            <w:pict>
              <v:rect id="文本框 44" o:spid="_x0000_s1026" o:spt="1" alt=" 签发人：×××" style="position:absolute;left:0pt;margin-left:0pt;margin-top:106.2pt;height:17.55pt;width:118.5pt;mso-position-vertical-relative:page;z-index:-251654144;mso-width-relative:page;mso-height-relative:page;" filled="f" stroked="f" coordsize="21600,21600" o:gfxdata="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WX06C9kAAAAIAQAADwAAAAAAAAABACAAAAAiAAAAZHJzL2Rvd25yZXYu&#10;eG1sUEsBAhQAFAAAAAgAh07iQPkaTIb6AQAAxgMAAA4AAAAAAAAAAQAgAAAAKAEAAGRycy9lMm9E&#10;b2MueG1sUEsFBgAAAAAGAAYAWQEAAJQ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left"/>
                        <w:rPr>
                          <w:rFonts w:ascii="黑体" w:hAnsi="微软雅黑" w:eastAsia="黑体" w:cs="宋体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等线" w:eastAsia="方正小标宋简体" w:cs="宋体"/>
          <w:bCs/>
          <w:color w:val="FF0000"/>
          <w:spacing w:val="100"/>
          <w:sz w:val="72"/>
          <w:szCs w:val="21"/>
        </w:rPr>
        <w:t>重大气象信息专报</w:t>
      </w:r>
    </w:p>
    <w:p>
      <w:pPr>
        <w:spacing w:before="312" w:beforeLines="100" w:after="156" w:afterLines="50" w:line="560" w:lineRule="exact"/>
        <w:ind w:firstLine="643"/>
        <w:jc w:val="center"/>
        <w:rPr>
          <w:rFonts w:ascii="仿宋_GB2312" w:hAnsi="等线" w:eastAsia="仿宋_GB2312" w:cs="宋体"/>
          <w:b/>
          <w:bCs/>
          <w:color w:val="000000"/>
          <w:sz w:val="32"/>
          <w:szCs w:val="21"/>
        </w:rPr>
      </w:pPr>
      <w:r>
        <w:rPr>
          <w:rFonts w:hint="eastAsia" w:ascii="仿宋_GB2312" w:hAnsi="等线" w:eastAsia="仿宋_GB2312" w:cs="宋体"/>
          <w:b/>
          <w:bCs/>
          <w:color w:val="000000"/>
          <w:sz w:val="32"/>
          <w:szCs w:val="21"/>
        </w:rPr>
        <w:t>2024年总第</w:t>
      </w:r>
      <w:r>
        <w:rPr>
          <w:rFonts w:ascii="仿宋_GB2312" w:hAnsi="等线" w:eastAsia="仿宋_GB2312" w:cs="宋体"/>
          <w:b/>
          <w:bCs/>
          <w:color w:val="000000"/>
          <w:sz w:val="32"/>
          <w:szCs w:val="21"/>
        </w:rPr>
        <w:t>1</w:t>
      </w:r>
      <w:r>
        <w:rPr>
          <w:rFonts w:hint="eastAsia" w:ascii="仿宋_GB2312" w:hAnsi="等线" w:eastAsia="仿宋_GB2312" w:cs="宋体"/>
          <w:b/>
          <w:bCs/>
          <w:color w:val="000000"/>
          <w:sz w:val="32"/>
          <w:szCs w:val="21"/>
          <w:lang w:val="en-US" w:eastAsia="zh-CN"/>
        </w:rPr>
        <w:t>40</w:t>
      </w:r>
      <w:r>
        <w:rPr>
          <w:rFonts w:hint="eastAsia" w:ascii="仿宋_GB2312" w:hAnsi="等线" w:eastAsia="仿宋_GB2312" w:cs="宋体"/>
          <w:b/>
          <w:bCs/>
          <w:color w:val="000000"/>
          <w:sz w:val="32"/>
          <w:szCs w:val="21"/>
        </w:rPr>
        <w:t>期（</w:t>
      </w:r>
      <w:r>
        <w:rPr>
          <w:rFonts w:hint="eastAsia" w:ascii="仿宋_GB2312" w:hAnsi="等线" w:eastAsia="仿宋_GB2312" w:cs="宋体"/>
          <w:b/>
          <w:bCs/>
          <w:color w:val="000000"/>
          <w:sz w:val="32"/>
          <w:szCs w:val="21"/>
          <w:lang w:val="en-US" w:eastAsia="zh-CN"/>
        </w:rPr>
        <w:t>农业</w:t>
      </w:r>
      <w:r>
        <w:rPr>
          <w:rFonts w:hint="eastAsia" w:ascii="仿宋_GB2312" w:hAnsi="等线" w:eastAsia="仿宋_GB2312" w:cs="宋体"/>
          <w:b/>
          <w:bCs/>
          <w:color w:val="000000"/>
          <w:sz w:val="32"/>
          <w:szCs w:val="21"/>
        </w:rPr>
        <w:t>第4期）</w:t>
      </w:r>
    </w:p>
    <w:p>
      <w:pPr>
        <w:spacing w:line="360" w:lineRule="exact"/>
        <w:jc w:val="left"/>
        <w:rPr>
          <w:rFonts w:ascii="楷体_GB2312" w:hAnsi="黑体" w:eastAsia="楷体_GB2312" w:cs="宋体"/>
          <w:bCs/>
          <w:color w:val="000000"/>
          <w:sz w:val="32"/>
          <w:szCs w:val="21"/>
        </w:rPr>
      </w:pPr>
      <w:r>
        <w:rPr>
          <w:rFonts w:hint="eastAsia" w:ascii="楷体_GB2312" w:hAnsi="黑体" w:eastAsia="楷体_GB2312" w:cs="宋体"/>
          <w:bCs/>
          <w:color w:val="000000"/>
          <w:sz w:val="32"/>
          <w:szCs w:val="21"/>
        </w:rPr>
        <w:t>陕西省气象灾害应急指挥部办公室</w:t>
      </w:r>
    </w:p>
    <w:p>
      <w:pPr>
        <w:spacing w:line="360" w:lineRule="exact"/>
        <w:jc w:val="left"/>
        <w:rPr>
          <w:rFonts w:ascii="楷体_GB2312" w:hAnsi="黑体" w:eastAsia="楷体_GB2312" w:cs="宋体"/>
          <w:color w:val="000000"/>
          <w:sz w:val="32"/>
          <w:szCs w:val="21"/>
        </w:rPr>
      </w:pPr>
      <w:r>
        <w:rPr>
          <w:rFonts w:hint="eastAsia" w:ascii="楷体_GB2312" w:hAnsi="黑体" w:eastAsia="楷体_GB2312" w:cs="宋体"/>
          <w:bCs/>
          <w:color w:val="000000"/>
          <w:sz w:val="32"/>
          <w:szCs w:val="21"/>
        </w:rPr>
        <w:t xml:space="preserve">陕    西    省    气   象   局           </w:t>
      </w:r>
      <w:r>
        <w:rPr>
          <w:rFonts w:hint="eastAsia" w:ascii="楷体_GB2312" w:hAnsi="黑体" w:eastAsia="楷体_GB2312" w:cs="宋体"/>
          <w:color w:val="000000"/>
          <w:sz w:val="32"/>
          <w:szCs w:val="21"/>
        </w:rPr>
        <w:t>签发：罗 慧</w:t>
      </w:r>
    </w:p>
    <w:p>
      <w:pPr>
        <w:spacing w:line="560" w:lineRule="exact"/>
        <w:ind w:firstLine="720"/>
        <w:jc w:val="center"/>
        <w:outlineLvl w:val="0"/>
        <w:rPr>
          <w:rFonts w:hint="eastAsia" w:ascii="方正小标宋简体" w:hAnsi="Times New Roman" w:eastAsia="方正小标宋简体" w:cs="Times New Roman"/>
          <w:bCs/>
          <w:sz w:val="44"/>
          <w:szCs w:val="44"/>
        </w:rPr>
      </w:pPr>
      <w:r>
        <w:rPr>
          <w:rFonts w:ascii="Times New Roman" w:hAnsi="Times New Roman" w:eastAsia="宋体" w:cs="宋体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486400" cy="0"/>
                <wp:effectExtent l="0" t="13970" r="0" b="24130"/>
                <wp:wrapNone/>
                <wp:docPr id="5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o:spt="20" style="position:absolute;left:0pt;margin-top:1.45pt;height:0pt;width:432pt;mso-position-horizontal:left;mso-position-horizontal-relative:margin;z-index:251663360;mso-width-relative:page;mso-height-relative:page;" filled="f" stroked="t" coordsize="21600,21600" o:gfxdata="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R2juHdMAAAAEAQAADwAAAAAAAAABACAAAAAiAAAAZHJzL2Rvd25yZXYueG1sUEsB&#10;AhQAFAAAAAgAh07iQJzYLM36AQAA8QMAAA4AAAAAAAAAAQAgAAAAIgEAAGRycy9lMm9Eb2MueG1s&#10;UEsFBgAAAAAGAAYAWQEAAI4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700" w:lineRule="exact"/>
        <w:jc w:val="center"/>
        <w:outlineLvl w:val="0"/>
        <w:rPr>
          <w:rFonts w:hint="eastAsia" w:ascii="方正小标宋简体" w:hAnsi="Times New Roman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sz w:val="44"/>
          <w:szCs w:val="44"/>
        </w:rPr>
        <w:t>春播区土壤温湿度适宜 利于春耕春播顺利开展</w:t>
      </w:r>
    </w:p>
    <w:p>
      <w:pPr>
        <w:spacing w:line="700" w:lineRule="exact"/>
        <w:jc w:val="center"/>
        <w:outlineLvl w:val="0"/>
        <w:rPr>
          <w:rFonts w:hint="eastAsia" w:ascii="方正小标宋简体" w:hAnsi="Times New Roman" w:eastAsia="方正小标宋简体" w:cs="Times New Roman"/>
          <w:bCs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sz w:val="44"/>
          <w:szCs w:val="44"/>
        </w:rPr>
        <w:t>后期低温冻害和病害发生风险较高 需加强防范</w:t>
      </w:r>
    </w:p>
    <w:p>
      <w:pPr>
        <w:adjustRightInd w:val="0"/>
        <w:snapToGrid w:val="0"/>
        <w:spacing w:before="156" w:beforeLines="50" w:after="156" w:afterLines="50" w:line="520" w:lineRule="exact"/>
        <w:jc w:val="center"/>
        <w:rPr>
          <w:rFonts w:hint="eastAsia" w:ascii="仿宋_GB2312" w:hAnsi="Times New Roman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(2024年3月1</w:t>
      </w: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Times New Roman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日)</w:t>
      </w:r>
    </w:p>
    <w:p>
      <w:pPr>
        <w:pStyle w:val="2"/>
        <w:widowControl/>
        <w:spacing w:after="0" w:line="600" w:lineRule="exact"/>
        <w:textAlignment w:val="baseline"/>
        <w:rPr>
          <w:rFonts w:hint="eastAsia" w:ascii="楷体_GB2312" w:hAnsi="宋体" w:eastAsia="楷体_GB2312"/>
          <w:b/>
          <w:sz w:val="36"/>
          <w:szCs w:val="36"/>
        </w:rPr>
      </w:pPr>
      <w:r>
        <w:rPr>
          <w:rFonts w:hint="eastAsia" w:ascii="楷体_GB2312" w:hAnsi="宋体" w:eastAsia="楷体_GB2312"/>
          <w:b/>
          <w:sz w:val="36"/>
          <w:szCs w:val="36"/>
        </w:rPr>
        <w:t>【摘要】去冬以来（12月1日-3月15日），全省大部降水较常年同期偏多，平均气温陕北、关中较常年同期偏低，陕南持平略偏高，气候条件总体利于农作物安全越冬。3月上旬小麦长势卫星遥感监测与地面调查结果显示，全省小麦整体长势略差于去年同期。预计春季（4-5月）全省降水偏多，气温偏高，陕北、关中终霜冻日期较常年接近或偏晚，果树花期冻害和小麦拔节孕穗期低温冷害风险较高。建议：抓紧有利时机趁墒整地，及时春播；冬麦区因苗施策，分类管理，促弱控旺；加强春季低温冻害等灾害的预报预警和防御；做好大田和果园病虫草害监测防治。</w:t>
      </w:r>
    </w:p>
    <w:p>
      <w:pPr>
        <w:pStyle w:val="17"/>
        <w:spacing w:line="560" w:lineRule="exact"/>
        <w:ind w:firstLine="643"/>
        <w:textAlignment w:val="baseline"/>
        <w:rPr>
          <w:rFonts w:ascii="黑体" w:hAnsi="黑体" w:eastAsia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720" w:firstLineChars="200"/>
        <w:rPr>
          <w:rFonts w:hint="eastAsia"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一、去冬以来我省水资源显著偏好，气候条件整体利于作物安全越冬</w:t>
      </w:r>
    </w:p>
    <w:p>
      <w:pPr>
        <w:spacing w:line="570" w:lineRule="exact"/>
        <w:ind w:firstLine="720" w:firstLineChars="200"/>
        <w:rPr>
          <w:rFonts w:hint="eastAsia" w:ascii="仿宋_GB2312" w:hAnsi="等线" w:eastAsia="仿宋_GB2312" w:cs="宋体"/>
          <w:bCs/>
          <w:sz w:val="36"/>
          <w:szCs w:val="36"/>
        </w:rPr>
      </w:pPr>
      <w:r>
        <w:rPr>
          <w:rFonts w:hint="eastAsia" w:ascii="仿宋_GB2312" w:hAnsi="等线" w:eastAsia="仿宋_GB2312" w:cs="宋体"/>
          <w:bCs/>
          <w:sz w:val="36"/>
          <w:szCs w:val="36"/>
        </w:rPr>
        <w:t>去冬以来（12月1日-3月15日），全省大部降水较常年同期偏多1成～2.1倍，土壤底墒良好；平均气温陕北、关中较常年同期偏低0.1～1.1℃，陕南持平略偏高；最低气温偏高1.3～10.5℃，其中咸阳北部、铜川北部局地和渭南东北部局地出现-15℃～-19℃的低温。全省共出现5次大范围雨雪降水天气过程，大部区域未达到越冬作物和果树致灾标准，利于越冬期大田作物和经济林果抗寒锻炼，降低了越冬病虫基数。2月下旬以来气温回升平稳，全省大部多晴好天气、地温回升快，土壤墒情适宜，利于小麦油菜苗情升级转化和果树萌芽生长。当前全省土壤基本解冻，陕北地表温度大部在0～5℃，关中、陕南大部在5～15℃；全省春播区土壤墒情基本良好，土壤相对湿度大部在60%～90%，利于春耕春播的顺利开展（图1-2）。</w:t>
      </w:r>
    </w:p>
    <w:p>
      <w:pPr>
        <w:pStyle w:val="12"/>
        <w:ind w:left="0" w:leftChars="0" w:firstLine="0" w:firstLineChars="0"/>
        <w:jc w:val="both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eastAsia="楷体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330450" cy="3228340"/>
            <wp:effectExtent l="0" t="0" r="12700" b="10160"/>
            <wp:docPr id="17" name="图片 17" descr="D:\360MoveData\Users\Administrator\Desktop\下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D:\360MoveData\Users\Administrator\Desktop\下载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0450" cy="322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楷体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337435" cy="3237865"/>
            <wp:effectExtent l="0" t="0" r="5715" b="635"/>
            <wp:docPr id="16" name="图片 16" descr="D:\360MoveData\Users\Administrator\Desktop\下载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D:\360MoveData\Users\Administrator\Desktop\下载 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7435" cy="323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仿宋_GB2312" w:hAnsi="Times New Roman" w:eastAsia="仿宋_GB2312" w:cs="Times New Roman"/>
          <w:b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b/>
          <w:sz w:val="24"/>
          <w:szCs w:val="24"/>
        </w:rPr>
        <w:t xml:space="preserve">图1 3月15日08时地表土壤温度  </w:t>
      </w:r>
      <w:r>
        <w:rPr>
          <w:rFonts w:hint="eastAsia" w:ascii="仿宋_GB2312" w:hAnsi="Times New Roman" w:eastAsia="仿宋_GB2312" w:cs="Times New Roman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仿宋_GB2312" w:hAnsi="Times New Roman" w:eastAsia="仿宋_GB2312" w:cs="Times New Roman"/>
          <w:b/>
          <w:sz w:val="24"/>
          <w:szCs w:val="24"/>
        </w:rPr>
        <w:t>图2 3月15日08时20厘米土壤相对湿度</w:t>
      </w:r>
    </w:p>
    <w:p>
      <w:pPr>
        <w:snapToGrid w:val="0"/>
        <w:spacing w:before="156" w:beforeLines="50" w:line="600" w:lineRule="exact"/>
        <w:ind w:firstLine="720" w:firstLineChars="200"/>
        <w:rPr>
          <w:rFonts w:hint="eastAsia"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二、卫星遥感监测全省夏粮长势整体略差于去年同期</w:t>
      </w:r>
    </w:p>
    <w:p>
      <w:pPr>
        <w:snapToGrid w:val="0"/>
        <w:spacing w:line="560" w:lineRule="exact"/>
        <w:ind w:firstLine="720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利用2月上旬至3月上旬EOS-MODIS中分辨率卫星资料和小麦种植分布数据，对我省冬小麦长势进行卫星监测分析，结果显示（图3）：与去年同期相比，全省冬小麦长势分级好的占0.04%、略好的占1.75%、持平的占72.49%、略差的占24.85%、差的占0.87%。</w:t>
      </w:r>
    </w:p>
    <w:p>
      <w:pPr>
        <w:spacing w:after="156" w:afterLines="50"/>
        <w:jc w:val="center"/>
        <w:rPr>
          <w:rFonts w:ascii="仿宋_GB2312" w:hAnsi="Calibri" w:eastAsia="仿宋_GB2312"/>
          <w:color w:val="FF0000"/>
          <w:sz w:val="32"/>
          <w:szCs w:val="32"/>
        </w:rPr>
      </w:pPr>
      <w:r>
        <w:drawing>
          <wp:inline distT="0" distB="0" distL="0" distR="0">
            <wp:extent cx="5274310" cy="2338070"/>
            <wp:effectExtent l="0" t="0" r="2540" b="5080"/>
            <wp:docPr id="9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snapToGrid w:val="0"/>
        <w:spacing w:before="156" w:beforeLines="50"/>
        <w:jc w:val="center"/>
        <w:rPr>
          <w:rFonts w:hint="eastAsia" w:ascii="仿宋_GB2312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>图3  2月下旬-3月上旬全省冬小麦长势占比</w:t>
      </w:r>
    </w:p>
    <w:p>
      <w:pPr>
        <w:snapToGrid w:val="0"/>
        <w:spacing w:line="560" w:lineRule="exact"/>
        <w:ind w:firstLine="720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从关中主产区的小麦长势空间分布看，长势较去年同期偏好的分散于渭南西部、西安南部、咸阳南部、宝鸡东部，渭南南部、西安东北部、宝鸡西部冬小麦长势差于去年同期，其它大部地区与去年同期持平（图4）。</w:t>
      </w:r>
    </w:p>
    <w:p>
      <w:pPr>
        <w:spacing w:after="156" w:afterLines="50"/>
        <w:jc w:val="center"/>
        <w:rPr>
          <w:rFonts w:ascii="仿宋_GB2312" w:hAnsi="Calibri" w:eastAsia="仿宋_GB2312"/>
          <w:color w:val="FF0000"/>
          <w:sz w:val="32"/>
          <w:szCs w:val="32"/>
        </w:rPr>
      </w:pPr>
      <w:r>
        <w:rPr>
          <w:rFonts w:ascii="仿宋_GB2312" w:hAnsi="Calibri" w:eastAsia="仿宋_GB2312"/>
          <w:color w:val="FF0000"/>
          <w:sz w:val="32"/>
          <w:szCs w:val="32"/>
        </w:rPr>
        <w:drawing>
          <wp:inline distT="0" distB="0" distL="0" distR="0">
            <wp:extent cx="5297805" cy="3042285"/>
            <wp:effectExtent l="0" t="0" r="17145" b="571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7805" cy="304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napToGrid w:val="0"/>
        <w:spacing w:before="156" w:beforeLines="50"/>
        <w:jc w:val="center"/>
        <w:rPr>
          <w:rFonts w:hint="eastAsia" w:ascii="仿宋_GB2312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>图4  2月下旬-3月上旬关中冬小麦长势分布图</w:t>
      </w:r>
    </w:p>
    <w:p>
      <w:pPr>
        <w:snapToGrid w:val="0"/>
        <w:spacing w:line="560" w:lineRule="exact"/>
        <w:ind w:firstLine="720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据3月上旬实地调查，渭北、关中和商洛小麦陆续返青起身，陕南中西部小麦进入拔节后期。渭北和关中油菜进入蕾薹期，陕南油菜开始进入初花期。全省小麦整体长势略差于去年同期，但旺苗明显少于去年同期。渭北和关中中东部部分田块群体偏小，个体偏弱，苗情不均现象明显，主要是去年的强秋淋导致该区域土壤持续过湿，影响秋播整地及小麦、直播油菜的播种出苗；此外越冬以来我省冷空气过程较多，气温回升速率较去年偏慢，平均气温较常年和去年同期均偏低，导致小麦、油菜物候期较去年同期偏晚3-5天左右（图5）。当前全省夏粮种植区墒情良好，后期温度回升利于苗情快速转化升级。</w:t>
      </w:r>
    </w:p>
    <w:p>
      <w:pPr>
        <w:pStyle w:val="12"/>
        <w:ind w:left="0" w:leftChars="0"/>
      </w:pPr>
      <w:r>
        <w:rPr>
          <w:rFonts w:hint="eastAsia"/>
        </w:rPr>
        <w:drawing>
          <wp:inline distT="0" distB="0" distL="0" distR="0">
            <wp:extent cx="2374900" cy="179959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84433" cy="1806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0" distR="0">
            <wp:extent cx="2501265" cy="179959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8155" cy="180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</w:t>
      </w:r>
    </w:p>
    <w:p>
      <w:pPr>
        <w:snapToGrid w:val="0"/>
        <w:spacing w:before="156" w:beforeLines="50"/>
        <w:jc w:val="center"/>
        <w:rPr>
          <w:rFonts w:hint="eastAsia" w:ascii="仿宋_GB2312" w:hAnsi="Times New Roman" w:eastAsia="仿宋_GB2312" w:cs="Times New Roman"/>
          <w:b/>
          <w:bCs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bCs/>
          <w:sz w:val="28"/>
          <w:szCs w:val="28"/>
        </w:rPr>
        <w:t>图5  3月12日 安康小麦拔节后期（左）、安康油菜初花（右）</w:t>
      </w:r>
    </w:p>
    <w:p>
      <w:pPr>
        <w:snapToGrid w:val="0"/>
        <w:spacing w:before="156" w:beforeLines="50" w:line="600" w:lineRule="exact"/>
        <w:ind w:firstLine="720" w:firstLineChars="200"/>
        <w:rPr>
          <w:rFonts w:hint="eastAsia"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三、后期天气趋势及对农业生产的影响预估</w:t>
      </w:r>
    </w:p>
    <w:p>
      <w:pPr>
        <w:snapToGrid w:val="0"/>
        <w:spacing w:line="560" w:lineRule="exact"/>
        <w:ind w:firstLine="720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Cs/>
          <w:sz w:val="36"/>
          <w:szCs w:val="36"/>
          <w:lang w:val="en-US" w:eastAsia="zh-CN"/>
        </w:rPr>
        <w:t>1.</w:t>
      </w: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2024年春季农业气候条件预测</w:t>
      </w:r>
    </w:p>
    <w:p>
      <w:pPr>
        <w:snapToGrid w:val="0"/>
        <w:spacing w:line="560" w:lineRule="exact"/>
        <w:ind w:firstLine="720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预计春季（4-5月）全省降水偏多，气温偏高。降水量：陕北60～100毫米，关中90～140毫米，陕南110～220毫米。与常年同期比较：陕北、关中偏多1～2成，陕南偏多0～1成。平均气温：陕北、渭北14～17℃，关中南部、陕南17～21℃。与常年同期比较：陕北大部偏高0～0.5℃，关中大部、陕南偏高0.5～1℃。预计终霜冻出现日期陕北、关中接近常年到偏晚，陕南偏早。终霜冻日期：陕北4月下旬-5月上旬，关中、陕南东部4月上-旬，陕南西部3月上-中旬。</w:t>
      </w:r>
    </w:p>
    <w:p>
      <w:pPr>
        <w:snapToGrid w:val="0"/>
        <w:spacing w:line="560" w:lineRule="exact"/>
        <w:ind w:firstLine="720" w:firstLineChars="200"/>
        <w:rPr>
          <w:rFonts w:hint="eastAsia" w:ascii="仿宋_GB2312" w:hAnsi="Times New Roman" w:eastAsia="仿宋_GB2312" w:cs="Times New Roman"/>
          <w:bCs/>
          <w:sz w:val="36"/>
          <w:szCs w:val="36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36"/>
          <w:szCs w:val="36"/>
          <w:lang w:val="en-US" w:eastAsia="zh-CN"/>
        </w:rPr>
        <w:t>2.2024年春季农业气象灾害风险预估</w:t>
      </w:r>
    </w:p>
    <w:p>
      <w:pPr>
        <w:snapToGrid w:val="0"/>
        <w:spacing w:line="560" w:lineRule="exact"/>
        <w:ind w:firstLine="723" w:firstLineChars="200"/>
        <w:rPr>
          <w:rFonts w:hint="eastAsia" w:ascii="仿宋_GB2312" w:hAnsi="Times New Roman" w:eastAsia="仿宋_GB2312" w:cs="Times New Roman"/>
          <w:bCs/>
          <w:sz w:val="36"/>
          <w:szCs w:val="36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  <w:lang w:val="en-US" w:eastAsia="zh-CN"/>
        </w:rPr>
        <w:t>果树花期冻害、小麦拔节孕穗期低温冷害发生风险较高。</w:t>
      </w:r>
      <w:r>
        <w:rPr>
          <w:rFonts w:hint="eastAsia" w:ascii="仿宋_GB2312" w:hAnsi="Times New Roman" w:eastAsia="仿宋_GB2312" w:cs="Times New Roman"/>
          <w:bCs/>
          <w:sz w:val="36"/>
          <w:szCs w:val="36"/>
          <w:lang w:val="en-US" w:eastAsia="zh-CN"/>
        </w:rPr>
        <w:t>综合今春降水偏多、气温偏高，陕北、关中终霜冻日期接近常年或偏晚，冬麦区苗情不均，以及部分晚播田块个体偏弱等因素，预计陕北果树开花幼果期、渭北及关中果树花期，小麦拔节孕穗期与低温过程重叠几率大，苹果花期冻害、小麦低温冷害发生的风险较高（图6-7）。</w:t>
      </w:r>
    </w:p>
    <w:p>
      <w:pPr>
        <w:pStyle w:val="12"/>
        <w:spacing w:after="0"/>
        <w:ind w:left="0" w:leftChars="0" w:firstLine="0" w:firstLineChars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276225</wp:posOffset>
            </wp:positionH>
            <wp:positionV relativeFrom="paragraph">
              <wp:posOffset>59055</wp:posOffset>
            </wp:positionV>
            <wp:extent cx="2116455" cy="2939415"/>
            <wp:effectExtent l="0" t="0" r="17145" b="1333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2939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2693670</wp:posOffset>
            </wp:positionH>
            <wp:positionV relativeFrom="paragraph">
              <wp:posOffset>78105</wp:posOffset>
            </wp:positionV>
            <wp:extent cx="2116455" cy="2939415"/>
            <wp:effectExtent l="0" t="0" r="17145" b="13335"/>
            <wp:wrapNone/>
            <wp:docPr id="13" name="图片 13" descr="C:\Users\Administrator\Downloads\风险等级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ownloads\风险等级 (4)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6455" cy="293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</w:p>
    <w:p>
      <w:pPr>
        <w:pStyle w:val="12"/>
        <w:spacing w:after="0"/>
        <w:ind w:left="0" w:leftChars="0" w:firstLine="0" w:firstLineChars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2"/>
        <w:spacing w:after="0"/>
        <w:ind w:left="0" w:leftChars="0" w:firstLine="0" w:firstLineChars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2"/>
        <w:spacing w:after="0"/>
        <w:ind w:left="0" w:leftChars="0" w:firstLine="0" w:firstLineChars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2"/>
        <w:spacing w:after="0"/>
        <w:ind w:left="0" w:leftChars="0" w:firstLine="0" w:firstLineChars="0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2"/>
        <w:spacing w:after="0"/>
        <w:ind w:left="0" w:leftChars="0" w:firstLine="643"/>
        <w:rPr>
          <w:rFonts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2"/>
        <w:spacing w:after="0"/>
        <w:ind w:left="0" w:leftChars="0" w:firstLine="643"/>
        <w:rPr>
          <w:rFonts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2"/>
        <w:spacing w:after="0"/>
        <w:ind w:left="0" w:leftChars="0" w:firstLine="643"/>
        <w:rPr>
          <w:rFonts w:ascii="仿宋_GB2312" w:eastAsia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rFonts w:hint="eastAsia" w:ascii="仿宋_GB2312" w:hAnsi="Times New Roman" w:eastAsia="仿宋_GB2312" w:cs="Times New Roman"/>
          <w:b/>
          <w:sz w:val="24"/>
          <w:szCs w:val="24"/>
        </w:rPr>
      </w:pPr>
      <w:r>
        <w:rPr>
          <w:rFonts w:hint="eastAsia" w:ascii="仿宋_GB2312" w:hAnsi="Times New Roman" w:eastAsia="仿宋_GB2312" w:cs="Times New Roman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仿宋_GB2312" w:hAnsi="Times New Roman" w:eastAsia="仿宋_GB2312" w:cs="Times New Roman"/>
          <w:b/>
          <w:sz w:val="24"/>
          <w:szCs w:val="24"/>
        </w:rPr>
        <w:t>图6 陕西苹果花期冻害风险预估   图7 冬小麦拔节孕穗期低温冷害风险预估</w:t>
      </w:r>
    </w:p>
    <w:p>
      <w:pPr>
        <w:snapToGrid w:val="0"/>
        <w:spacing w:line="560" w:lineRule="exact"/>
        <w:ind w:firstLine="723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</w:rPr>
        <w:t>农田喜湿性病害发生风险高。</w:t>
      </w: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目前冬麦区底墒充足，春季降水偏多，加之3月有三次弱降温过程，湿度大叠加低温寡照利于小麦根部病害和油菜菌核病的发生。春季透雨偏早，温高雨多利于小麦条锈病发生侵染。</w:t>
      </w:r>
    </w:p>
    <w:p>
      <w:pPr>
        <w:snapToGrid w:val="0"/>
        <w:spacing w:before="156" w:beforeLines="50" w:line="600" w:lineRule="exact"/>
        <w:ind w:firstLine="720" w:firstLineChars="200"/>
        <w:rPr>
          <w:rFonts w:hint="eastAsia" w:ascii="黑体" w:hAnsi="黑体" w:eastAsia="黑体" w:cs="Times New Roman"/>
          <w:bCs/>
          <w:sz w:val="36"/>
          <w:szCs w:val="36"/>
        </w:rPr>
      </w:pPr>
      <w:r>
        <w:rPr>
          <w:rFonts w:hint="eastAsia" w:ascii="黑体" w:hAnsi="黑体" w:eastAsia="黑体" w:cs="Times New Roman"/>
          <w:bCs/>
          <w:sz w:val="36"/>
          <w:szCs w:val="36"/>
        </w:rPr>
        <w:t>四、生产建议</w:t>
      </w:r>
    </w:p>
    <w:p>
      <w:pPr>
        <w:snapToGrid w:val="0"/>
        <w:spacing w:line="560" w:lineRule="exact"/>
        <w:ind w:firstLine="723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</w:rPr>
        <w:t>1.趁墒整地，及时春播。</w:t>
      </w: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目前全省大部底墒良好，春季降水偏多，各地应提前做好春播物资准备工作，适时趁墒整地，及时春播。</w:t>
      </w:r>
    </w:p>
    <w:p>
      <w:pPr>
        <w:snapToGrid w:val="0"/>
        <w:spacing w:line="560" w:lineRule="exact"/>
        <w:ind w:firstLine="723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</w:rPr>
        <w:t>2.因苗施策，分类管理，促弱控旺。</w:t>
      </w: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关中和渭北小麦、油菜弱苗田块趁墒追肥，以促为主；苗情较好地块追肥可适当后移；旺长小麦可通过镇压、喷施生长调节剂等方式控旺稳壮，提高抗性。</w:t>
      </w:r>
    </w:p>
    <w:p>
      <w:pPr>
        <w:snapToGrid w:val="0"/>
        <w:spacing w:line="560" w:lineRule="exact"/>
        <w:ind w:firstLine="723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</w:rPr>
        <w:t>3.加强春季晚霜冻的预报预警和灾害防御。</w:t>
      </w: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3-4月小麦、油菜，以及苹果、猕猴桃等果树均进入低温敏感阶段，需密切关注小麦拔节孕穗期和果树开花期天气变化，高度关注春季晚霜冻的预报预警信息，为实施多部门联合冻害防御争取时间提前量。</w:t>
      </w:r>
    </w:p>
    <w:p>
      <w:pPr>
        <w:snapToGrid w:val="0"/>
        <w:spacing w:line="560" w:lineRule="exact"/>
        <w:ind w:firstLine="723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</w:rPr>
        <w:t>4.做好大田和果园夏管，关注夏季高温、伏旱。</w:t>
      </w: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陕北北部入夏前做好大田及果园蓄水保墒，减轻伏旱影响。关中、陕南果区可提前采取冠层喷水、遮阴覆盖、蓄水保墒等有效措施降低危害。</w:t>
      </w:r>
    </w:p>
    <w:p>
      <w:pPr>
        <w:snapToGrid w:val="0"/>
        <w:spacing w:line="560" w:lineRule="exact"/>
        <w:ind w:firstLine="723" w:firstLineChars="200"/>
        <w:rPr>
          <w:rFonts w:hint="eastAsia" w:ascii="仿宋_GB2312" w:hAnsi="Times New Roman" w:eastAsia="仿宋_GB2312" w:cs="Times New Roman"/>
          <w:bCs/>
          <w:sz w:val="36"/>
          <w:szCs w:val="36"/>
        </w:rPr>
      </w:pPr>
      <w:r>
        <w:rPr>
          <w:rFonts w:hint="eastAsia" w:ascii="仿宋_GB2312" w:hAnsi="Times New Roman" w:eastAsia="仿宋_GB2312" w:cs="Times New Roman"/>
          <w:b/>
          <w:bCs w:val="0"/>
          <w:sz w:val="36"/>
          <w:szCs w:val="36"/>
        </w:rPr>
        <w:t>5.做好大田和果园病虫草害监测防治。</w:t>
      </w:r>
      <w:r>
        <w:rPr>
          <w:rFonts w:hint="eastAsia" w:ascii="仿宋_GB2312" w:hAnsi="Times New Roman" w:eastAsia="仿宋_GB2312" w:cs="Times New Roman"/>
          <w:bCs/>
          <w:sz w:val="36"/>
          <w:szCs w:val="36"/>
        </w:rPr>
        <w:t>做好小麦条锈病、赤霉病，油菜菌核病，苹果腐烂病、白粉病等病害以及农田草害监测防治，强化小麦“一喷三防”工作。</w:t>
      </w:r>
    </w:p>
    <w:p>
      <w:pPr>
        <w:spacing w:line="600" w:lineRule="exact"/>
        <w:rPr>
          <w:rFonts w:ascii="仿宋_GB2312" w:hAnsi="Times New Roman" w:eastAsia="仿宋_GB2312" w:cs="Times New Roman"/>
          <w:bCs/>
          <w:sz w:val="30"/>
          <w:szCs w:val="30"/>
        </w:rPr>
      </w:pPr>
    </w:p>
    <w:p>
      <w:pPr>
        <w:widowControl/>
        <w:spacing w:after="120"/>
        <w:jc w:val="both"/>
        <w:textAlignment w:val="baseline"/>
        <w:rPr>
          <w:rFonts w:ascii="Times New Roman" w:hAnsi="Times New Roman" w:eastAsia="宋体" w:cs="Times New Roman"/>
          <w:kern w:val="2"/>
          <w:sz w:val="21"/>
          <w:szCs w:val="22"/>
          <w:lang w:val="en-US" w:eastAsia="zh-CN" w:bidi="ar-SA"/>
        </w:rPr>
      </w:pPr>
    </w:p>
    <w:p>
      <w:pPr>
        <w:spacing w:line="400" w:lineRule="exact"/>
        <w:rPr>
          <w:rFonts w:ascii="仿宋_GB2312" w:hAnsi="等线" w:eastAsia="仿宋_GB2312" w:cs="宋体"/>
          <w:color w:val="000000"/>
          <w:spacing w:val="-20"/>
          <w:sz w:val="28"/>
          <w:szCs w:val="28"/>
        </w:rPr>
      </w:pPr>
    </w:p>
    <w:p>
      <w:pPr>
        <w:spacing w:line="400" w:lineRule="exact"/>
        <w:rPr>
          <w:rFonts w:ascii="仿宋_GB2312" w:hAnsi="等线" w:eastAsia="仿宋_GB2312" w:cs="宋体"/>
          <w:color w:val="000000"/>
          <w:spacing w:val="-20"/>
          <w:sz w:val="28"/>
          <w:szCs w:val="28"/>
        </w:rPr>
      </w:pPr>
    </w:p>
    <w:p>
      <w:pPr>
        <w:spacing w:line="400" w:lineRule="exact"/>
        <w:ind w:firstLine="643"/>
        <w:rPr>
          <w:rFonts w:ascii="仿宋_GB2312" w:hAnsi="等线" w:eastAsia="仿宋_GB2312" w:cs="宋体"/>
          <w:color w:val="000000"/>
          <w:spacing w:val="-20"/>
          <w:sz w:val="28"/>
          <w:szCs w:val="28"/>
        </w:rPr>
      </w:pPr>
    </w:p>
    <w:p>
      <w:pPr>
        <w:spacing w:line="400" w:lineRule="exact"/>
        <w:ind w:firstLine="643"/>
        <w:rPr>
          <w:rFonts w:ascii="仿宋_GB2312" w:hAnsi="等线" w:eastAsia="仿宋_GB2312" w:cs="宋体"/>
          <w:color w:val="000000"/>
          <w:spacing w:val="-20"/>
          <w:sz w:val="28"/>
          <w:szCs w:val="28"/>
        </w:rPr>
      </w:pPr>
    </w:p>
    <w:p>
      <w:pPr>
        <w:spacing w:line="400" w:lineRule="exact"/>
        <w:ind w:firstLine="643"/>
        <w:rPr>
          <w:rFonts w:ascii="仿宋_GB2312" w:hAnsi="等线" w:eastAsia="仿宋_GB2312" w:cs="宋体"/>
          <w:color w:val="000000"/>
          <w:spacing w:val="-20"/>
          <w:sz w:val="28"/>
          <w:szCs w:val="28"/>
        </w:rPr>
      </w:pPr>
      <w:r>
        <w:rPr>
          <w:rFonts w:ascii="等线" w:hAnsi="等线" w:eastAsia="等线" w:cs="宋体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4pt;margin-top:18.05pt;height:0pt;width:447.25pt;z-index:251664384;mso-width-relative:page;mso-height-relative:page;" filled="f" stroked="t" coordsize="21600,21600" o:gfxdata="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LsCBgNcAAAAIAQAADwAAAAAAAAABACAAAAAiAAAA&#10;ZHJzL2Rvd25yZXYueG1sUEsBAhQAFAAAAAgAh07iQDlDDI0IAgAABgQAAA4AAAAAAAAAAQAgAAAA&#10;JgEAAGRycy9lMm9Eb2MueG1sUEsFBgAAAAAGAAYAWQEAAKA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exact"/>
        <w:ind w:left="605" w:right="225" w:rightChars="107" w:hanging="608" w:hangingChars="200"/>
        <w:rPr>
          <w:rFonts w:ascii="等线" w:hAnsi="等线" w:eastAsia="仿宋_GB2312" w:cs="宋体"/>
          <w:color w:val="000000"/>
          <w:w w:val="95"/>
          <w:sz w:val="32"/>
          <w:szCs w:val="32"/>
        </w:rPr>
      </w:pPr>
      <w:r>
        <w:rPr>
          <w:rFonts w:hint="eastAsia" w:ascii="等线" w:hAnsi="等线" w:eastAsia="仿宋_GB2312" w:cs="宋体"/>
          <w:color w:val="000000"/>
          <w:w w:val="95"/>
          <w:sz w:val="32"/>
          <w:szCs w:val="32"/>
        </w:rPr>
        <w:t>报：</w:t>
      </w:r>
      <w:r>
        <w:rPr>
          <w:rFonts w:hint="eastAsia" w:ascii="等线" w:hAnsi="等线" w:eastAsia="仿宋_GB2312" w:cs="宋体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>
      <w:pPr>
        <w:spacing w:line="360" w:lineRule="exact"/>
        <w:ind w:left="605" w:right="224" w:hanging="608" w:hangingChars="200"/>
        <w:textAlignment w:val="baseline"/>
        <w:rPr>
          <w:rFonts w:ascii="等线" w:hAnsi="等线" w:eastAsia="仿宋_GB2312" w:cs="宋体"/>
          <w:color w:val="000000"/>
          <w:w w:val="95"/>
          <w:sz w:val="32"/>
          <w:szCs w:val="32"/>
        </w:rPr>
      </w:pPr>
      <w:r>
        <w:rPr>
          <w:rFonts w:hint="eastAsia" w:ascii="等线" w:hAnsi="等线" w:eastAsia="仿宋_GB2312" w:cs="宋体"/>
          <w:color w:val="000000"/>
          <w:w w:val="95"/>
          <w:sz w:val="32"/>
          <w:szCs w:val="32"/>
        </w:rPr>
        <w:t>送：省委宣传部、省发展改革委、省教育厅、省工业和信息化厅、省公安厅、省民政厅、省财政厅、省自然资源厅、省生态环境厅、省住房和城乡建设厅、省交通运输厅、省水利厅、省农业农村厅、省商务厅、省文化和旅游厅、省卫生健康委、省应急管理厅、省林业局、省广播电视局、省通信管理局、省军区、武警陕西省总队、省消防救援总队、国家能源局西北监管局、省人民防空办公室、省邮政管理局、民航西北地区管理局、国网陕西省电力有限公司、西部机场集团有限公司、中国铁路西安局集团有限公司,省文物局等。</w:t>
      </w:r>
    </w:p>
    <w:p>
      <w:pPr>
        <w:jc w:val="left"/>
        <w:rPr>
          <w:rFonts w:ascii="仿宋" w:hAnsi="仿宋" w:eastAsia="仿宋" w:cs="宋体"/>
          <w:spacing w:val="-20"/>
          <w:sz w:val="28"/>
          <w:szCs w:val="28"/>
        </w:rPr>
      </w:pPr>
      <w:r>
        <w:rPr>
          <w:rFonts w:hint="eastAsia" w:ascii="等线" w:hAnsi="等线" w:eastAsia="仿宋_GB2312" w:cs="宋体"/>
          <w:color w:val="000000"/>
          <w:spacing w:val="-20"/>
          <w:sz w:val="28"/>
          <w:szCs w:val="28"/>
        </w:rPr>
        <w:t>制作：李红梅  周辉  柏秦凤</w:t>
      </w:r>
      <w:r>
        <w:rPr>
          <w:rFonts w:ascii="等线" w:hAnsi="等线" w:eastAsia="仿宋_GB2312" w:cs="宋体"/>
          <w:color w:val="000000"/>
          <w:spacing w:val="-20"/>
          <w:sz w:val="28"/>
          <w:szCs w:val="28"/>
        </w:rPr>
        <w:t xml:space="preserve">        </w:t>
      </w:r>
      <w:r>
        <w:rPr>
          <w:rFonts w:hint="eastAsia" w:ascii="等线" w:hAnsi="等线" w:eastAsia="仿宋_GB2312" w:cs="宋体"/>
          <w:color w:val="000000"/>
          <w:spacing w:val="-20"/>
          <w:sz w:val="28"/>
          <w:szCs w:val="28"/>
        </w:rPr>
        <w:t>审核：</w:t>
      </w:r>
      <w:r>
        <w:rPr>
          <w:rFonts w:hint="eastAsia" w:ascii="等线" w:hAnsi="等线" w:eastAsia="仿宋_GB2312" w:cs="宋体"/>
          <w:color w:val="000000"/>
          <w:spacing w:val="-20"/>
          <w:sz w:val="28"/>
          <w:szCs w:val="28"/>
          <w:lang w:val="en-US" w:eastAsia="zh-CN"/>
        </w:rPr>
        <w:t>李涛</w:t>
      </w:r>
      <w:r>
        <w:rPr>
          <w:rFonts w:hint="eastAsia" w:ascii="等线" w:hAnsi="等线" w:eastAsia="仿宋_GB2312" w:cs="宋体"/>
          <w:color w:val="000000"/>
          <w:spacing w:val="-20"/>
          <w:sz w:val="28"/>
          <w:szCs w:val="28"/>
        </w:rPr>
        <w:t xml:space="preserve">  李</w:t>
      </w:r>
      <w:r>
        <w:rPr>
          <w:rFonts w:hint="eastAsia" w:ascii="等线" w:hAnsi="等线" w:eastAsia="仿宋_GB2312" w:cs="宋体"/>
          <w:color w:val="000000"/>
          <w:spacing w:val="-20"/>
          <w:sz w:val="28"/>
          <w:szCs w:val="28"/>
          <w:lang w:val="en-US" w:eastAsia="zh-CN"/>
        </w:rPr>
        <w:t>明</w:t>
      </w:r>
      <w:bookmarkStart w:id="1" w:name="_GoBack"/>
      <w:bookmarkEnd w:id="1"/>
      <w:r>
        <w:rPr>
          <w:rFonts w:ascii="等线" w:hAnsi="等线" w:eastAsia="仿宋_GB2312" w:cs="宋体"/>
          <w:color w:val="000000"/>
          <w:spacing w:val="-20"/>
          <w:sz w:val="28"/>
          <w:szCs w:val="28"/>
        </w:rPr>
        <w:t xml:space="preserve">        </w:t>
      </w:r>
      <w:r>
        <w:rPr>
          <w:rFonts w:hint="eastAsia" w:ascii="等线" w:hAnsi="等线" w:eastAsia="仿宋_GB2312" w:cs="宋体"/>
          <w:color w:val="000000"/>
          <w:spacing w:val="-20"/>
          <w:sz w:val="28"/>
          <w:szCs w:val="28"/>
        </w:rPr>
        <w:t>审签：赵奎锋</w:t>
      </w:r>
      <w:r>
        <w:rPr>
          <w:rFonts w:ascii="等线" w:hAnsi="等线" w:eastAsia="等线" w:cs="宋体"/>
          <w:spacing w:val="-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10160</wp:posOffset>
                </wp:positionV>
                <wp:extent cx="5792470" cy="0"/>
                <wp:effectExtent l="0" t="4445" r="0" b="5080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0.6pt;margin-top:0.8pt;height:0pt;width:456.1pt;z-index:251665408;mso-width-relative:page;mso-height-relative:page;" filled="f" stroked="t" coordsize="21600,21600" o:gfxdata="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MgTLBvUAAAABgEAAA8AAAAAAAAAAQAgAAAAIgAAAGRy&#10;cy9kb3ducmV2LnhtbFBLAQIUABQAAAAIAIdO4kBvOXT0CQIAAAYEAAAOAAAAAAAAAAEAIAAAACMB&#10;AABkcnMvZTJvRG9jLnhtbFBLBQYAAAAABgAGAFkBAACe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ascii="仿宋_GB2312" w:hAnsi="Times New Roman" w:eastAsia="仿宋_GB2312" w:cs="Times New Roman"/>
          <w:bCs/>
          <w:sz w:val="30"/>
          <w:szCs w:val="30"/>
        </w:rPr>
      </w:pPr>
      <w:r>
        <w:drawing>
          <wp:inline distT="0" distB="0" distL="114300" distR="114300">
            <wp:extent cx="1790700" cy="552450"/>
            <wp:effectExtent l="0" t="0" r="0" b="0"/>
            <wp:docPr id="1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30928933"/>
    </w:sdtPr>
    <w:sdtContent>
      <w:sdt>
        <w:sdtPr>
          <w:id w:val="-1669238322"/>
        </w:sdtPr>
        <w:sdtContent>
          <w:p>
            <w:pPr>
              <w:pStyle w:val="9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3ZWI2ZDMxMTA1ZmMwMGQ0NTE5YWJlZWEwZmI1NGMifQ=="/>
  </w:docVars>
  <w:rsids>
    <w:rsidRoot w:val="00CB6680"/>
    <w:rsid w:val="000D1FDA"/>
    <w:rsid w:val="00100CC1"/>
    <w:rsid w:val="00153861"/>
    <w:rsid w:val="00167F03"/>
    <w:rsid w:val="00314FED"/>
    <w:rsid w:val="00417998"/>
    <w:rsid w:val="0046366D"/>
    <w:rsid w:val="00545378"/>
    <w:rsid w:val="0054692E"/>
    <w:rsid w:val="005642CD"/>
    <w:rsid w:val="006B3351"/>
    <w:rsid w:val="00864696"/>
    <w:rsid w:val="008C2ED3"/>
    <w:rsid w:val="008D7E54"/>
    <w:rsid w:val="00922D16"/>
    <w:rsid w:val="009E3ACB"/>
    <w:rsid w:val="00CB1BA1"/>
    <w:rsid w:val="00CB6680"/>
    <w:rsid w:val="03FB660C"/>
    <w:rsid w:val="04B628A3"/>
    <w:rsid w:val="09644173"/>
    <w:rsid w:val="220F5306"/>
    <w:rsid w:val="23735D67"/>
    <w:rsid w:val="4479612A"/>
    <w:rsid w:val="452802EC"/>
    <w:rsid w:val="49F60EC4"/>
    <w:rsid w:val="4D2011CD"/>
    <w:rsid w:val="58547F0E"/>
    <w:rsid w:val="76490403"/>
    <w:rsid w:val="79240362"/>
    <w:rsid w:val="7E2E5C88"/>
    <w:rsid w:val="7F7FB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8"/>
    <w:autoRedefine/>
    <w:qFormat/>
    <w:uiPriority w:val="0"/>
    <w:rPr>
      <w:rFonts w:ascii="Times New Roman" w:hAnsi="Times New Roman" w:eastAsia="宋体" w:cs="Times New Roman"/>
      <w:sz w:val="32"/>
      <w:szCs w:val="24"/>
    </w:rPr>
  </w:style>
  <w:style w:type="paragraph" w:customStyle="1" w:styleId="3">
    <w:name w:val="正文首行缩进1"/>
    <w:next w:val="2"/>
    <w:autoRedefine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Indent"/>
    <w:basedOn w:val="1"/>
    <w:next w:val="5"/>
    <w:autoRedefine/>
    <w:qFormat/>
    <w:uiPriority w:val="0"/>
    <w:pPr>
      <w:spacing w:after="120"/>
      <w:ind w:left="420" w:leftChars="200"/>
    </w:pPr>
  </w:style>
  <w:style w:type="paragraph" w:customStyle="1" w:styleId="5">
    <w:name w:val="正文首行缩进 21"/>
    <w:basedOn w:val="4"/>
    <w:next w:val="6"/>
    <w:autoRedefine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customStyle="1" w:styleId="6">
    <w:name w:val="正文首行缩进11"/>
    <w:basedOn w:val="2"/>
    <w:next w:val="2"/>
    <w:autoRedefine/>
    <w:unhideWhenUsed/>
    <w:qFormat/>
    <w:uiPriority w:val="99"/>
    <w:pPr>
      <w:widowControl w:val="0"/>
      <w:spacing w:line="560" w:lineRule="exact"/>
      <w:ind w:firstLine="100" w:firstLineChars="100"/>
    </w:pPr>
    <w:rPr>
      <w:rFonts w:ascii="Calibri" w:hAnsi="Calibri"/>
      <w:szCs w:val="24"/>
    </w:rPr>
  </w:style>
  <w:style w:type="paragraph" w:styleId="7">
    <w:name w:val="Date"/>
    <w:basedOn w:val="1"/>
    <w:next w:val="1"/>
    <w:link w:val="20"/>
    <w:autoRedefine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19"/>
    <w:autoRedefine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2">
    <w:name w:val="Body Text First Indent 2"/>
    <w:basedOn w:val="4"/>
    <w:autoRedefine/>
    <w:qFormat/>
    <w:uiPriority w:val="0"/>
    <w:pPr>
      <w:ind w:firstLine="420" w:firstLineChars="200"/>
    </w:pPr>
  </w:style>
  <w:style w:type="character" w:customStyle="1" w:styleId="15">
    <w:name w:val="页眉 字符"/>
    <w:basedOn w:val="14"/>
    <w:link w:val="10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4"/>
    <w:link w:val="9"/>
    <w:autoRedefine/>
    <w:qFormat/>
    <w:uiPriority w:val="99"/>
    <w:rPr>
      <w:sz w:val="18"/>
      <w:szCs w:val="18"/>
    </w:rPr>
  </w:style>
  <w:style w:type="paragraph" w:customStyle="1" w:styleId="17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8">
    <w:name w:val="正文文本 字符"/>
    <w:basedOn w:val="14"/>
    <w:link w:val="2"/>
    <w:autoRedefine/>
    <w:qFormat/>
    <w:uiPriority w:val="0"/>
    <w:rPr>
      <w:rFonts w:ascii="Times New Roman" w:hAnsi="Times New Roman" w:eastAsia="宋体" w:cs="Times New Roman"/>
      <w:sz w:val="32"/>
      <w:szCs w:val="24"/>
    </w:rPr>
  </w:style>
  <w:style w:type="character" w:customStyle="1" w:styleId="19">
    <w:name w:val="批注框文本 字符"/>
    <w:basedOn w:val="14"/>
    <w:link w:val="8"/>
    <w:autoRedefine/>
    <w:semiHidden/>
    <w:qFormat/>
    <w:uiPriority w:val="99"/>
    <w:rPr>
      <w:kern w:val="2"/>
      <w:sz w:val="18"/>
      <w:szCs w:val="18"/>
    </w:rPr>
  </w:style>
  <w:style w:type="character" w:customStyle="1" w:styleId="20">
    <w:name w:val="日期 字符"/>
    <w:basedOn w:val="14"/>
    <w:link w:val="7"/>
    <w:autoRedefine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chart" Target="charts/chart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F:\data\01-Growth\03-&#32479;&#35745;&#32467;&#26524;\Growth_2024049_percen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892473769689042"/>
          <c:y val="0.0480874151413742"/>
          <c:w val="0.891240479271123"/>
          <c:h val="0.7473734357821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Sheet2!$B$1</c:f>
              <c:strCache>
                <c:ptCount val="1"/>
                <c:pt idx="0">
                  <c:v>差</c:v>
                </c:pt>
              </c:strCache>
            </c:strRef>
          </c:tx>
          <c:spPr>
            <a:solidFill>
              <a:srgbClr val="FF42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elete val="1"/>
          </c:dLbls>
          <c:cat>
            <c:strRef>
              <c:f>Sheet2!$A$2:$A$11</c:f>
              <c:strCache>
                <c:ptCount val="9"/>
                <c:pt idx="0">
                  <c:v>渭南</c:v>
                </c:pt>
                <c:pt idx="1">
                  <c:v>铜川</c:v>
                </c:pt>
                <c:pt idx="2">
                  <c:v>西安</c:v>
                </c:pt>
                <c:pt idx="3">
                  <c:v>咸阳</c:v>
                </c:pt>
                <c:pt idx="4">
                  <c:v>宝鸡</c:v>
                </c:pt>
                <c:pt idx="5">
                  <c:v>商洛</c:v>
                </c:pt>
                <c:pt idx="6">
                  <c:v>安康</c:v>
                </c:pt>
                <c:pt idx="7">
                  <c:v>汉中</c:v>
                </c:pt>
                <c:pt idx="8">
                  <c:v>全省</c:v>
                </c:pt>
              </c:strCache>
            </c:strRef>
          </c:cat>
          <c:val>
            <c:numRef>
              <c:f>Sheet2!$B$2:$B$11</c:f>
              <c:numCache>
                <c:formatCode>General</c:formatCode>
                <c:ptCount val="9"/>
                <c:pt idx="0">
                  <c:v>0.26</c:v>
                </c:pt>
                <c:pt idx="1">
                  <c:v>0</c:v>
                </c:pt>
                <c:pt idx="2">
                  <c:v>0.35</c:v>
                </c:pt>
                <c:pt idx="3">
                  <c:v>0.29</c:v>
                </c:pt>
                <c:pt idx="4">
                  <c:v>3.27</c:v>
                </c:pt>
                <c:pt idx="5">
                  <c:v>0.35</c:v>
                </c:pt>
                <c:pt idx="6">
                  <c:v>0.09</c:v>
                </c:pt>
                <c:pt idx="7">
                  <c:v>0.97</c:v>
                </c:pt>
                <c:pt idx="8">
                  <c:v>0.87</c:v>
                </c:pt>
              </c:numCache>
            </c:numRef>
          </c:val>
        </c:ser>
        <c:ser>
          <c:idx val="1"/>
          <c:order val="1"/>
          <c:tx>
            <c:strRef>
              <c:f>Sheet2!$C$1</c:f>
              <c:strCache>
                <c:ptCount val="1"/>
                <c:pt idx="0">
                  <c:v>略差</c:v>
                </c:pt>
              </c:strCache>
            </c:strRef>
          </c:tx>
          <c:spPr>
            <a:solidFill>
              <a:srgbClr val="FFDBBA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elete val="1"/>
          </c:dLbls>
          <c:cat>
            <c:strRef>
              <c:f>Sheet2!$A$2:$A$11</c:f>
              <c:strCache>
                <c:ptCount val="9"/>
                <c:pt idx="0">
                  <c:v>渭南</c:v>
                </c:pt>
                <c:pt idx="1">
                  <c:v>铜川</c:v>
                </c:pt>
                <c:pt idx="2">
                  <c:v>西安</c:v>
                </c:pt>
                <c:pt idx="3">
                  <c:v>咸阳</c:v>
                </c:pt>
                <c:pt idx="4">
                  <c:v>宝鸡</c:v>
                </c:pt>
                <c:pt idx="5">
                  <c:v>商洛</c:v>
                </c:pt>
                <c:pt idx="6">
                  <c:v>安康</c:v>
                </c:pt>
                <c:pt idx="7">
                  <c:v>汉中</c:v>
                </c:pt>
                <c:pt idx="8">
                  <c:v>全省</c:v>
                </c:pt>
              </c:strCache>
            </c:strRef>
          </c:cat>
          <c:val>
            <c:numRef>
              <c:f>Sheet2!$C$2:$C$11</c:f>
              <c:numCache>
                <c:formatCode>General</c:formatCode>
                <c:ptCount val="9"/>
                <c:pt idx="0">
                  <c:v>24.13</c:v>
                </c:pt>
                <c:pt idx="1">
                  <c:v>5.02</c:v>
                </c:pt>
                <c:pt idx="2">
                  <c:v>16.68</c:v>
                </c:pt>
                <c:pt idx="3">
                  <c:v>14.56</c:v>
                </c:pt>
                <c:pt idx="4">
                  <c:v>41.34</c:v>
                </c:pt>
                <c:pt idx="5">
                  <c:v>16.99</c:v>
                </c:pt>
                <c:pt idx="6">
                  <c:v>12.73</c:v>
                </c:pt>
                <c:pt idx="7">
                  <c:v>48.19</c:v>
                </c:pt>
                <c:pt idx="8">
                  <c:v>24.85</c:v>
                </c:pt>
              </c:numCache>
            </c:numRef>
          </c:val>
        </c:ser>
        <c:ser>
          <c:idx val="2"/>
          <c:order val="2"/>
          <c:tx>
            <c:strRef>
              <c:f>Sheet2!$D$1</c:f>
              <c:strCache>
                <c:ptCount val="1"/>
                <c:pt idx="0">
                  <c:v>持平</c:v>
                </c:pt>
              </c:strCache>
            </c:strRef>
          </c:tx>
          <c:spPr>
            <a:solidFill>
              <a:srgbClr val="A6FF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elete val="1"/>
          </c:dLbls>
          <c:cat>
            <c:strRef>
              <c:f>Sheet2!$A$2:$A$11</c:f>
              <c:strCache>
                <c:ptCount val="9"/>
                <c:pt idx="0">
                  <c:v>渭南</c:v>
                </c:pt>
                <c:pt idx="1">
                  <c:v>铜川</c:v>
                </c:pt>
                <c:pt idx="2">
                  <c:v>西安</c:v>
                </c:pt>
                <c:pt idx="3">
                  <c:v>咸阳</c:v>
                </c:pt>
                <c:pt idx="4">
                  <c:v>宝鸡</c:v>
                </c:pt>
                <c:pt idx="5">
                  <c:v>商洛</c:v>
                </c:pt>
                <c:pt idx="6">
                  <c:v>安康</c:v>
                </c:pt>
                <c:pt idx="7">
                  <c:v>汉中</c:v>
                </c:pt>
                <c:pt idx="8">
                  <c:v>全省</c:v>
                </c:pt>
              </c:strCache>
            </c:strRef>
          </c:cat>
          <c:val>
            <c:numRef>
              <c:f>Sheet2!$D$2:$D$11</c:f>
              <c:numCache>
                <c:formatCode>General</c:formatCode>
                <c:ptCount val="9"/>
                <c:pt idx="0">
                  <c:v>75.13</c:v>
                </c:pt>
                <c:pt idx="1">
                  <c:v>94.82</c:v>
                </c:pt>
                <c:pt idx="2">
                  <c:v>78.34</c:v>
                </c:pt>
                <c:pt idx="3">
                  <c:v>83.35</c:v>
                </c:pt>
                <c:pt idx="4">
                  <c:v>53.83</c:v>
                </c:pt>
                <c:pt idx="5">
                  <c:v>81.97</c:v>
                </c:pt>
                <c:pt idx="6">
                  <c:v>86.23</c:v>
                </c:pt>
                <c:pt idx="7">
                  <c:v>46.45</c:v>
                </c:pt>
                <c:pt idx="8">
                  <c:v>72.49</c:v>
                </c:pt>
              </c:numCache>
            </c:numRef>
          </c:val>
        </c:ser>
        <c:ser>
          <c:idx val="3"/>
          <c:order val="3"/>
          <c:tx>
            <c:strRef>
              <c:f>Sheet2!$E$1</c:f>
              <c:strCache>
                <c:ptCount val="1"/>
                <c:pt idx="0">
                  <c:v>略好</c:v>
                </c:pt>
              </c:strCache>
            </c:strRef>
          </c:tx>
          <c:spPr>
            <a:solidFill>
              <a:srgbClr val="00C8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elete val="1"/>
          </c:dLbls>
          <c:cat>
            <c:strRef>
              <c:f>Sheet2!$A$2:$A$11</c:f>
              <c:strCache>
                <c:ptCount val="9"/>
                <c:pt idx="0">
                  <c:v>渭南</c:v>
                </c:pt>
                <c:pt idx="1">
                  <c:v>铜川</c:v>
                </c:pt>
                <c:pt idx="2">
                  <c:v>西安</c:v>
                </c:pt>
                <c:pt idx="3">
                  <c:v>咸阳</c:v>
                </c:pt>
                <c:pt idx="4">
                  <c:v>宝鸡</c:v>
                </c:pt>
                <c:pt idx="5">
                  <c:v>商洛</c:v>
                </c:pt>
                <c:pt idx="6">
                  <c:v>安康</c:v>
                </c:pt>
                <c:pt idx="7">
                  <c:v>汉中</c:v>
                </c:pt>
                <c:pt idx="8">
                  <c:v>全省</c:v>
                </c:pt>
              </c:strCache>
            </c:strRef>
          </c:cat>
          <c:val>
            <c:numRef>
              <c:f>Sheet2!$E$2:$E$11</c:f>
              <c:numCache>
                <c:formatCode>General</c:formatCode>
                <c:ptCount val="9"/>
                <c:pt idx="0">
                  <c:v>0.47</c:v>
                </c:pt>
                <c:pt idx="1">
                  <c:v>0.16</c:v>
                </c:pt>
                <c:pt idx="2">
                  <c:v>4.56</c:v>
                </c:pt>
                <c:pt idx="3">
                  <c:v>1.78</c:v>
                </c:pt>
                <c:pt idx="4">
                  <c:v>1.55</c:v>
                </c:pt>
                <c:pt idx="5">
                  <c:v>0.69</c:v>
                </c:pt>
                <c:pt idx="6">
                  <c:v>0.91</c:v>
                </c:pt>
                <c:pt idx="7">
                  <c:v>4.16</c:v>
                </c:pt>
                <c:pt idx="8">
                  <c:v>1.75</c:v>
                </c:pt>
              </c:numCache>
            </c:numRef>
          </c:val>
        </c:ser>
        <c:ser>
          <c:idx val="4"/>
          <c:order val="4"/>
          <c:tx>
            <c:strRef>
              <c:f>Sheet2!$F$1</c:f>
              <c:strCache>
                <c:ptCount val="1"/>
                <c:pt idx="0">
                  <c:v>好</c:v>
                </c:pt>
              </c:strCache>
            </c:strRef>
          </c:tx>
          <c:spPr>
            <a:solidFill>
              <a:srgbClr val="008F00"/>
            </a:soli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delete val="1"/>
          </c:dLbls>
          <c:cat>
            <c:strRef>
              <c:f>Sheet2!$A$2:$A$11</c:f>
              <c:strCache>
                <c:ptCount val="9"/>
                <c:pt idx="0">
                  <c:v>渭南</c:v>
                </c:pt>
                <c:pt idx="1">
                  <c:v>铜川</c:v>
                </c:pt>
                <c:pt idx="2">
                  <c:v>西安</c:v>
                </c:pt>
                <c:pt idx="3">
                  <c:v>咸阳</c:v>
                </c:pt>
                <c:pt idx="4">
                  <c:v>宝鸡</c:v>
                </c:pt>
                <c:pt idx="5">
                  <c:v>商洛</c:v>
                </c:pt>
                <c:pt idx="6">
                  <c:v>安康</c:v>
                </c:pt>
                <c:pt idx="7">
                  <c:v>汉中</c:v>
                </c:pt>
                <c:pt idx="8">
                  <c:v>全省</c:v>
                </c:pt>
              </c:strCache>
            </c:strRef>
          </c:cat>
          <c:val>
            <c:numRef>
              <c:f>Sheet2!$F$2:$F$11</c:f>
              <c:numCache>
                <c:formatCode>General</c:formatCode>
                <c:ptCount val="9"/>
                <c:pt idx="0">
                  <c:v>0.01</c:v>
                </c:pt>
                <c:pt idx="1">
                  <c:v>0</c:v>
                </c:pt>
                <c:pt idx="2">
                  <c:v>0.07</c:v>
                </c:pt>
                <c:pt idx="3">
                  <c:v>0.02</c:v>
                </c:pt>
                <c:pt idx="4">
                  <c:v>0.01</c:v>
                </c:pt>
                <c:pt idx="5">
                  <c:v>0</c:v>
                </c:pt>
                <c:pt idx="6">
                  <c:v>0.04</c:v>
                </c:pt>
                <c:pt idx="7">
                  <c:v>0.23</c:v>
                </c:pt>
                <c:pt idx="8">
                  <c:v>0.04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47"/>
        <c:axId val="474023360"/>
        <c:axId val="421123968"/>
      </c:barChart>
      <c:catAx>
        <c:axId val="474023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21123968"/>
        <c:crossesAt val="0"/>
        <c:auto val="1"/>
        <c:lblAlgn val="ctr"/>
        <c:lblOffset val="100"/>
        <c:noMultiLvlLbl val="0"/>
      </c:catAx>
      <c:valAx>
        <c:axId val="421123968"/>
        <c:scaling>
          <c:orientation val="minMax"/>
        </c:scaling>
        <c:delete val="0"/>
        <c:axPos val="l"/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74023360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0.01163</cdr:x>
      <cdr:y>0.36721</cdr:y>
    </cdr:from>
    <cdr:to>
      <cdr:x>0.0625</cdr:x>
      <cdr:y>0.55082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76201" y="1066800"/>
          <a:ext cx="333375" cy="533400"/>
        </a:xfrm>
        <a:prstGeom xmlns:a="http://schemas.openxmlformats.org/drawingml/2006/main" prst="rect">
          <a:avLst/>
        </a:prstGeom>
      </cdr:spPr>
      <cdr:txBody xmlns:a="http://schemas.openxmlformats.org/drawingml/2006/main">
        <a:bodyPr vertOverflow="clip" vert="eaVert" wrap="none" lIns="45720" tIns="45720" rIns="45720" bIns="45720" rtlCol="0" anchor="t" anchorCtr="0">
          <a:normAutofit/>
        </a:bodyPr>
        <a:lstStyle/>
        <a:p>
          <a:r>
            <a:rPr lang="zh-CN" altLang="en-US" sz="1100"/>
            <a:t>百分比</a:t>
          </a:r>
          <a:endParaRPr lang="zh-CN" altLang="en-US" sz="1100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2290</Words>
  <Characters>2417</Characters>
  <Lines>17</Lines>
  <Paragraphs>4</Paragraphs>
  <TotalTime>2</TotalTime>
  <ScaleCrop>false</ScaleCrop>
  <LinksUpToDate>false</LinksUpToDate>
  <CharactersWithSpaces>2526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2024-03-15T12:41:00Z</dcterms:created>
  <dc:creator>Admin</dc:creator>
  <cp:lastModifiedBy>范小欣</cp:lastModifiedBy>
  <cp:lastPrinted>2024-03-04T16:14:00Z</cp:lastPrinted>
  <dcterms:modified xsi:type="dcterms:W3CDTF">2024-03-16T02:55:50Z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2B499EEF7A8B98CF4212F465F2C112B7_33</vt:lpwstr>
  </property>
</Properties>
</file>